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23" w:rsidRDefault="006C0F23">
      <w:pPr>
        <w:rPr>
          <w:rStyle w:val="Enfasigrassetto"/>
        </w:rPr>
      </w:pPr>
    </w:p>
    <w:p w:rsidR="006C0F23" w:rsidRDefault="006C0F23">
      <w:pPr>
        <w:rPr>
          <w:rStyle w:val="Enfasigrassetto"/>
        </w:rPr>
      </w:pPr>
    </w:p>
    <w:p w:rsidR="006C0F23" w:rsidRDefault="006C0F23">
      <w:pPr>
        <w:rPr>
          <w:rStyle w:val="Enfasigrassetto"/>
        </w:rPr>
      </w:pPr>
    </w:p>
    <w:p w:rsidR="006C0F23" w:rsidRDefault="006C0F23">
      <w:pPr>
        <w:rPr>
          <w:rStyle w:val="Enfasigrassetto"/>
        </w:rPr>
      </w:pPr>
    </w:p>
    <w:p w:rsidR="006C0F23" w:rsidRDefault="006C0F23">
      <w:pPr>
        <w:rPr>
          <w:rStyle w:val="Enfasigrassetto"/>
        </w:rPr>
      </w:pPr>
    </w:p>
    <w:p w:rsidR="006C0F23" w:rsidRDefault="006C0F23">
      <w:pPr>
        <w:rPr>
          <w:rStyle w:val="Enfasigrassetto"/>
        </w:rPr>
      </w:pPr>
    </w:p>
    <w:p w:rsidR="006C0F23" w:rsidRDefault="006C0F23">
      <w:pPr>
        <w:rPr>
          <w:rStyle w:val="Enfasigrassetto"/>
        </w:rPr>
      </w:pPr>
    </w:p>
    <w:p w:rsidR="006C0F23" w:rsidRDefault="006C0F23">
      <w:pPr>
        <w:rPr>
          <w:rStyle w:val="Enfasigrassetto"/>
        </w:rPr>
      </w:pPr>
    </w:p>
    <w:p w:rsidR="006C0F23" w:rsidRDefault="006C0F23" w:rsidP="003F5125">
      <w:pPr>
        <w:jc w:val="center"/>
        <w:rPr>
          <w:rStyle w:val="Enfasigrassetto"/>
        </w:rPr>
      </w:pPr>
      <w:r>
        <w:object w:dxaOrig="3826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57.75pt" o:ole="">
            <v:imagedata r:id="rId7" o:title=""/>
          </v:shape>
          <o:OLEObject Type="Embed" ProgID="Msxml2.SAXXMLReader.5.0" ShapeID="_x0000_i1025" DrawAspect="Content" ObjectID="_1401535353" r:id="rId8"/>
        </w:object>
      </w:r>
    </w:p>
    <w:p w:rsidR="006C0F23" w:rsidRDefault="006C0F23">
      <w:pPr>
        <w:rPr>
          <w:rStyle w:val="Enfasigrassetto"/>
        </w:rPr>
      </w:pPr>
    </w:p>
    <w:p w:rsidR="006C0F23" w:rsidRDefault="006C0F23">
      <w:pPr>
        <w:rPr>
          <w:rStyle w:val="Enfasigrassetto"/>
        </w:rPr>
      </w:pPr>
    </w:p>
    <w:p w:rsidR="006C0F23" w:rsidRDefault="006C0F23">
      <w:pPr>
        <w:rPr>
          <w:rStyle w:val="Enfasigrassetto"/>
        </w:rPr>
      </w:pPr>
    </w:p>
    <w:p w:rsidR="006C0F23" w:rsidRDefault="006C0F23">
      <w:pPr>
        <w:rPr>
          <w:rStyle w:val="Enfasigrassetto"/>
        </w:rPr>
      </w:pPr>
    </w:p>
    <w:p w:rsidR="00D74F81" w:rsidRDefault="006C0F23" w:rsidP="003F5125">
      <w:pPr>
        <w:jc w:val="center"/>
        <w:rPr>
          <w:rStyle w:val="Enfasigrassetto"/>
        </w:rPr>
      </w:pPr>
      <w:r>
        <w:rPr>
          <w:rStyle w:val="Enfasigrassetto"/>
        </w:rPr>
        <w:t xml:space="preserve">MEMORIA </w:t>
      </w:r>
      <w:r w:rsidR="006D6568">
        <w:rPr>
          <w:rStyle w:val="Enfasigrassetto"/>
        </w:rPr>
        <w:t>sul D</w:t>
      </w:r>
      <w:r w:rsidR="00B4474D">
        <w:rPr>
          <w:rStyle w:val="Enfasigrassetto"/>
        </w:rPr>
        <w:t>isegno di legge C 5256</w:t>
      </w:r>
    </w:p>
    <w:p w:rsidR="006C0F23" w:rsidRDefault="006C0F23" w:rsidP="003F5125">
      <w:pPr>
        <w:jc w:val="center"/>
        <w:rPr>
          <w:rStyle w:val="Enfasigrassetto"/>
        </w:rPr>
      </w:pPr>
      <w:r>
        <w:rPr>
          <w:rStyle w:val="Enfasigrassetto"/>
        </w:rPr>
        <w:t>per la COMMISSIONE LAVORO</w:t>
      </w:r>
      <w:r w:rsidR="00D74F81">
        <w:rPr>
          <w:rStyle w:val="Enfasigrassetto"/>
        </w:rPr>
        <w:t xml:space="preserve"> PUBBLICO E PRIVATO </w:t>
      </w:r>
      <w:r>
        <w:rPr>
          <w:rStyle w:val="Enfasigrassetto"/>
        </w:rPr>
        <w:t>del</w:t>
      </w:r>
      <w:r w:rsidR="00D74F81">
        <w:rPr>
          <w:rStyle w:val="Enfasigrassetto"/>
        </w:rPr>
        <w:t>la CAMERA</w:t>
      </w:r>
    </w:p>
    <w:p w:rsidR="006C0F23" w:rsidRDefault="006C0F23" w:rsidP="003F5125">
      <w:pPr>
        <w:jc w:val="center"/>
        <w:rPr>
          <w:rStyle w:val="Enfasigrassetto"/>
        </w:rPr>
      </w:pPr>
      <w:r>
        <w:rPr>
          <w:rStyle w:val="Enfasigrassetto"/>
        </w:rPr>
        <w:t>A cura di ACTA – Associazione Consulenti Terziario Avanzato</w:t>
      </w:r>
    </w:p>
    <w:p w:rsidR="006C0F23" w:rsidRDefault="00D74F81" w:rsidP="003F5125">
      <w:pPr>
        <w:jc w:val="center"/>
        <w:rPr>
          <w:rStyle w:val="Enfasigrassetto"/>
        </w:rPr>
      </w:pPr>
      <w:r>
        <w:rPr>
          <w:rStyle w:val="Enfasigrassetto"/>
        </w:rPr>
        <w:t>18 giugno</w:t>
      </w:r>
      <w:r w:rsidR="006C0F23">
        <w:rPr>
          <w:rStyle w:val="Enfasigrassetto"/>
        </w:rPr>
        <w:t xml:space="preserve"> 2012</w:t>
      </w:r>
    </w:p>
    <w:p w:rsidR="006C0F23" w:rsidRDefault="006C0F23">
      <w:pPr>
        <w:rPr>
          <w:rStyle w:val="Enfasigrassetto"/>
        </w:rPr>
      </w:pPr>
    </w:p>
    <w:p w:rsidR="006C0F23" w:rsidRDefault="006C0F23">
      <w:pPr>
        <w:rPr>
          <w:rStyle w:val="Enfasigrassetto"/>
        </w:rPr>
      </w:pPr>
    </w:p>
    <w:p w:rsidR="006C0F23" w:rsidRDefault="006C0F23">
      <w:pPr>
        <w:rPr>
          <w:rStyle w:val="Enfasigrassetto"/>
        </w:rPr>
      </w:pPr>
    </w:p>
    <w:p w:rsidR="006C0F23" w:rsidRDefault="006C0F23">
      <w:pPr>
        <w:rPr>
          <w:rStyle w:val="Enfasigrassetto"/>
        </w:rPr>
      </w:pPr>
    </w:p>
    <w:p w:rsidR="006C0F23" w:rsidRDefault="006C0F23">
      <w:pPr>
        <w:rPr>
          <w:rStyle w:val="Enfasigrassetto"/>
        </w:rPr>
      </w:pPr>
    </w:p>
    <w:p w:rsidR="006C0F23" w:rsidRDefault="006C0F23">
      <w:pPr>
        <w:rPr>
          <w:rStyle w:val="Enfasigrassetto"/>
        </w:rPr>
      </w:pPr>
    </w:p>
    <w:p w:rsidR="006C0F23" w:rsidRDefault="006C0F23">
      <w:pPr>
        <w:rPr>
          <w:rStyle w:val="Enfasigrassetto"/>
        </w:rPr>
      </w:pPr>
    </w:p>
    <w:p w:rsidR="006C0F23" w:rsidRDefault="006C0F23">
      <w:pPr>
        <w:rPr>
          <w:rStyle w:val="Enfasigrassetto"/>
        </w:rPr>
      </w:pPr>
    </w:p>
    <w:p w:rsidR="006C0F23" w:rsidRPr="00274616" w:rsidRDefault="006C0F23" w:rsidP="00697267">
      <w:pPr>
        <w:rPr>
          <w:rStyle w:val="Enfasigrassetto"/>
          <w:sz w:val="28"/>
          <w:szCs w:val="28"/>
        </w:rPr>
      </w:pPr>
      <w:r>
        <w:rPr>
          <w:rStyle w:val="Enfasigrassetto"/>
        </w:rPr>
        <w:br w:type="page"/>
      </w:r>
      <w:r w:rsidRPr="00274616">
        <w:rPr>
          <w:rStyle w:val="Enfasigrassetto"/>
          <w:sz w:val="28"/>
          <w:szCs w:val="28"/>
        </w:rPr>
        <w:lastRenderedPageBreak/>
        <w:t>Chi siamo e chi rappresentiamo</w:t>
      </w:r>
    </w:p>
    <w:p w:rsidR="006C0F23" w:rsidRPr="00B538C7" w:rsidRDefault="006C0F23" w:rsidP="002143B4">
      <w:pPr>
        <w:jc w:val="both"/>
        <w:rPr>
          <w:rFonts w:cs="Arial"/>
          <w:bCs/>
        </w:rPr>
      </w:pPr>
      <w:r w:rsidRPr="009C48E8">
        <w:rPr>
          <w:rFonts w:cs="Arial"/>
          <w:bCs/>
        </w:rPr>
        <w:t xml:space="preserve">ACTA (Associazione </w:t>
      </w:r>
      <w:r w:rsidRPr="00B538C7">
        <w:rPr>
          <w:rFonts w:cs="Arial"/>
          <w:bCs/>
        </w:rPr>
        <w:t xml:space="preserve">Consulenti </w:t>
      </w:r>
      <w:r w:rsidR="00697267">
        <w:rPr>
          <w:rFonts w:cs="Arial"/>
          <w:bCs/>
        </w:rPr>
        <w:t>d</w:t>
      </w:r>
      <w:r w:rsidRPr="00B538C7">
        <w:rPr>
          <w:rFonts w:cs="Arial"/>
          <w:bCs/>
        </w:rPr>
        <w:t xml:space="preserve">el Terziario Avanzato) è un'associazione nazionale nata nel 2004 per rappresentare i professionisti </w:t>
      </w:r>
      <w:r w:rsidRPr="00B538C7">
        <w:rPr>
          <w:rFonts w:cs="Arial"/>
          <w:b/>
          <w:bCs/>
        </w:rPr>
        <w:t>autonomi</w:t>
      </w:r>
      <w:r w:rsidRPr="00B538C7">
        <w:rPr>
          <w:rFonts w:cs="Arial"/>
          <w:bCs/>
        </w:rPr>
        <w:t xml:space="preserve"> attivi nel terziario avanzato</w:t>
      </w:r>
      <w:r w:rsidR="00516713" w:rsidRPr="00B538C7">
        <w:rPr>
          <w:rFonts w:cs="Arial"/>
          <w:bCs/>
        </w:rPr>
        <w:t xml:space="preserve"> e </w:t>
      </w:r>
      <w:r w:rsidR="00697267">
        <w:rPr>
          <w:rFonts w:cs="Arial"/>
          <w:bCs/>
        </w:rPr>
        <w:t>nel settore</w:t>
      </w:r>
      <w:r w:rsidR="00697267" w:rsidRPr="00B538C7">
        <w:rPr>
          <w:rFonts w:cs="Arial"/>
          <w:bCs/>
        </w:rPr>
        <w:t xml:space="preserve"> </w:t>
      </w:r>
      <w:r w:rsidR="00516713" w:rsidRPr="00B538C7">
        <w:rPr>
          <w:rFonts w:cs="Arial"/>
          <w:bCs/>
        </w:rPr>
        <w:t>delle tecnologie digitali per la comunicazione, l’informazione e l’immagine</w:t>
      </w:r>
      <w:r w:rsidRPr="00B538C7">
        <w:rPr>
          <w:rFonts w:cs="Arial"/>
          <w:bCs/>
        </w:rPr>
        <w:t>, i cui clienti sono in prevalenza imprese o enti pubblici</w:t>
      </w:r>
      <w:r w:rsidR="00516713" w:rsidRPr="00B538C7">
        <w:rPr>
          <w:rFonts w:cs="Arial"/>
          <w:bCs/>
        </w:rPr>
        <w:t xml:space="preserve"> o agenzie che lavorano per conto di imprese ed enti pubblici</w:t>
      </w:r>
      <w:r w:rsidRPr="00B538C7">
        <w:rPr>
          <w:rFonts w:cs="Arial"/>
          <w:bCs/>
        </w:rPr>
        <w:t xml:space="preserve">. </w:t>
      </w:r>
    </w:p>
    <w:p w:rsidR="006C0F23" w:rsidRPr="009C48E8" w:rsidRDefault="001E0D8E" w:rsidP="002143B4">
      <w:pPr>
        <w:jc w:val="both"/>
        <w:rPr>
          <w:rFonts w:cs="Arial"/>
          <w:bCs/>
        </w:rPr>
      </w:pPr>
      <w:r w:rsidRPr="00B538C7">
        <w:rPr>
          <w:rFonts w:cs="Arial"/>
          <w:bCs/>
        </w:rPr>
        <w:t>S</w:t>
      </w:r>
      <w:r w:rsidR="00516713" w:rsidRPr="00B538C7">
        <w:rPr>
          <w:rFonts w:cs="Arial"/>
          <w:bCs/>
        </w:rPr>
        <w:t>in dall’</w:t>
      </w:r>
      <w:r w:rsidRPr="00B538C7">
        <w:rPr>
          <w:rFonts w:cs="Arial"/>
          <w:bCs/>
        </w:rPr>
        <w:t xml:space="preserve">inizio </w:t>
      </w:r>
      <w:r w:rsidR="00516713" w:rsidRPr="00B538C7">
        <w:rPr>
          <w:rFonts w:cs="Arial"/>
          <w:bCs/>
        </w:rPr>
        <w:t>il pensiero della nostra Associazione è stat</w:t>
      </w:r>
      <w:r w:rsidR="00697267">
        <w:rPr>
          <w:rFonts w:cs="Arial"/>
          <w:bCs/>
        </w:rPr>
        <w:t>o</w:t>
      </w:r>
      <w:r w:rsidR="00516713" w:rsidRPr="00B538C7">
        <w:rPr>
          <w:rFonts w:cs="Arial"/>
          <w:bCs/>
        </w:rPr>
        <w:t xml:space="preserve"> quell</w:t>
      </w:r>
      <w:r w:rsidR="00697267">
        <w:rPr>
          <w:rFonts w:cs="Arial"/>
          <w:bCs/>
        </w:rPr>
        <w:t>o</w:t>
      </w:r>
      <w:r w:rsidR="00516713" w:rsidRPr="00B538C7">
        <w:rPr>
          <w:rFonts w:cs="Arial"/>
          <w:bCs/>
        </w:rPr>
        <w:t xml:space="preserve"> di dare una voce e un volto al </w:t>
      </w:r>
      <w:r w:rsidR="00516713" w:rsidRPr="00B538C7">
        <w:rPr>
          <w:rFonts w:cs="Arial"/>
          <w:b/>
          <w:bCs/>
        </w:rPr>
        <w:t>lavoro del futuro</w:t>
      </w:r>
      <w:r w:rsidR="00516713" w:rsidRPr="00B538C7">
        <w:rPr>
          <w:rFonts w:cs="Arial"/>
          <w:bCs/>
        </w:rPr>
        <w:t xml:space="preserve">. </w:t>
      </w:r>
      <w:r w:rsidRPr="00B538C7">
        <w:rPr>
          <w:rFonts w:cs="Arial"/>
          <w:bCs/>
        </w:rPr>
        <w:t xml:space="preserve">Sono nostri associati </w:t>
      </w:r>
      <w:r w:rsidR="006C0F23" w:rsidRPr="00B538C7">
        <w:rPr>
          <w:rFonts w:cs="Arial"/>
          <w:bCs/>
        </w:rPr>
        <w:t>i lavoratori autonomi non rappresentati da ordini professionali o rappresentati da ordini professionali senza cassa, non riconducibili alle tradizionali categorie del commercio e dell</w:t>
      </w:r>
      <w:r w:rsidR="00697267">
        <w:rPr>
          <w:rFonts w:cs="Arial"/>
          <w:bCs/>
        </w:rPr>
        <w:t>’</w:t>
      </w:r>
      <w:r w:rsidR="006C0F23" w:rsidRPr="00B538C7">
        <w:rPr>
          <w:rFonts w:cs="Arial"/>
          <w:bCs/>
        </w:rPr>
        <w:t xml:space="preserve">artigianato, </w:t>
      </w:r>
      <w:r w:rsidRPr="00B538C7">
        <w:rPr>
          <w:rFonts w:cs="Arial"/>
          <w:bCs/>
        </w:rPr>
        <w:t>lavoratori che assicurano</w:t>
      </w:r>
      <w:r w:rsidR="006C0F23" w:rsidRPr="00B538C7">
        <w:rPr>
          <w:rFonts w:cs="Arial"/>
          <w:bCs/>
        </w:rPr>
        <w:t xml:space="preserve"> la flessibilità così necessaria </w:t>
      </w:r>
      <w:r w:rsidRPr="00B538C7">
        <w:rPr>
          <w:rFonts w:cs="Arial"/>
          <w:bCs/>
        </w:rPr>
        <w:t>a u</w:t>
      </w:r>
      <w:r w:rsidR="006C0F23" w:rsidRPr="00B538C7">
        <w:rPr>
          <w:rFonts w:cs="Arial"/>
          <w:bCs/>
        </w:rPr>
        <w:t>n’economia post</w:t>
      </w:r>
      <w:r w:rsidR="00247048">
        <w:rPr>
          <w:rFonts w:cs="Arial"/>
          <w:bCs/>
        </w:rPr>
        <w:t>-</w:t>
      </w:r>
      <w:r w:rsidR="006C0F23" w:rsidRPr="00B538C7">
        <w:rPr>
          <w:rFonts w:cs="Arial"/>
          <w:bCs/>
        </w:rPr>
        <w:t xml:space="preserve">fordista, in cui non tutto il lavoro può essere ricondotto </w:t>
      </w:r>
      <w:r w:rsidR="00697267">
        <w:rPr>
          <w:rFonts w:cs="Arial"/>
          <w:bCs/>
        </w:rPr>
        <w:t>a rapporti di subordinazione</w:t>
      </w:r>
      <w:r w:rsidR="006C0F23" w:rsidRPr="00B538C7">
        <w:rPr>
          <w:rFonts w:cs="Arial"/>
          <w:bCs/>
        </w:rPr>
        <w:t>. Ad ACTA aderiscono ricercatori, formatori, informatici, designer, grafici, traduttori, interpreti, esperti di marketing, di organizzazione</w:t>
      </w:r>
      <w:r w:rsidR="00DC4A61" w:rsidRPr="00B538C7">
        <w:rPr>
          <w:rFonts w:cs="Arial"/>
          <w:bCs/>
        </w:rPr>
        <w:t xml:space="preserve">, </w:t>
      </w:r>
      <w:proofErr w:type="spellStart"/>
      <w:r w:rsidR="00DC4A61" w:rsidRPr="00B538C7">
        <w:rPr>
          <w:rFonts w:cs="Arial"/>
          <w:bCs/>
        </w:rPr>
        <w:t>film</w:t>
      </w:r>
      <w:r w:rsidR="00697267">
        <w:rPr>
          <w:rFonts w:cs="Arial"/>
          <w:bCs/>
        </w:rPr>
        <w:t>m</w:t>
      </w:r>
      <w:r w:rsidR="00DC4A61" w:rsidRPr="00B538C7">
        <w:rPr>
          <w:rFonts w:cs="Arial"/>
          <w:bCs/>
        </w:rPr>
        <w:t>aker</w:t>
      </w:r>
      <w:proofErr w:type="spellEnd"/>
      <w:r w:rsidR="00DC4A61" w:rsidRPr="00B538C7">
        <w:rPr>
          <w:rFonts w:cs="Arial"/>
          <w:bCs/>
        </w:rPr>
        <w:t xml:space="preserve">, operatori audiovisivi, </w:t>
      </w:r>
      <w:r w:rsidR="00594D76">
        <w:rPr>
          <w:rFonts w:cs="Arial"/>
          <w:bCs/>
        </w:rPr>
        <w:t xml:space="preserve">illustratori, </w:t>
      </w:r>
      <w:r w:rsidR="00DC4A61" w:rsidRPr="00B538C7">
        <w:rPr>
          <w:rFonts w:cs="Arial"/>
          <w:bCs/>
        </w:rPr>
        <w:t xml:space="preserve">organizzatori di eventi, </w:t>
      </w:r>
      <w:r w:rsidR="00697267">
        <w:rPr>
          <w:rFonts w:cs="Arial"/>
          <w:bCs/>
        </w:rPr>
        <w:t>consulenti di</w:t>
      </w:r>
      <w:r w:rsidR="006C0F23" w:rsidRPr="00B538C7">
        <w:rPr>
          <w:rFonts w:cs="Arial"/>
          <w:bCs/>
        </w:rPr>
        <w:t xml:space="preserve"> impres</w:t>
      </w:r>
      <w:r w:rsidR="00697267">
        <w:rPr>
          <w:rFonts w:cs="Arial"/>
          <w:bCs/>
        </w:rPr>
        <w:t>a</w:t>
      </w:r>
      <w:r w:rsidR="00D11DAE" w:rsidRPr="00B538C7">
        <w:rPr>
          <w:rFonts w:cs="Arial"/>
          <w:bCs/>
        </w:rPr>
        <w:t xml:space="preserve"> ed altri</w:t>
      </w:r>
      <w:r w:rsidR="006C0F23" w:rsidRPr="00B538C7">
        <w:rPr>
          <w:rFonts w:cs="Arial"/>
          <w:bCs/>
        </w:rPr>
        <w:t>.</w:t>
      </w:r>
      <w:r w:rsidR="006C0F23" w:rsidRPr="009C48E8">
        <w:rPr>
          <w:rFonts w:cs="Arial"/>
          <w:bCs/>
        </w:rPr>
        <w:t xml:space="preserve"> </w:t>
      </w:r>
    </w:p>
    <w:p w:rsidR="006C0F23" w:rsidRPr="009C48E8" w:rsidRDefault="006C0F23" w:rsidP="002143B4">
      <w:pPr>
        <w:jc w:val="both"/>
        <w:rPr>
          <w:rFonts w:cs="Arial"/>
          <w:bCs/>
        </w:rPr>
      </w:pPr>
      <w:r w:rsidRPr="009C48E8">
        <w:rPr>
          <w:rFonts w:cs="Arial"/>
          <w:bCs/>
        </w:rPr>
        <w:t xml:space="preserve">La nostra associazione è nata per coprire un vuoto nel sistema di rappresentanza in Italia. I nostri associati infatti non possono riconoscersi nelle organizzazioni sindacali o nelle associazioni datoriali perché rappresentano interessi differenti. </w:t>
      </w:r>
    </w:p>
    <w:p w:rsidR="006C0F23" w:rsidRPr="00310C1A" w:rsidRDefault="006C0F23" w:rsidP="007171E4">
      <w:pPr>
        <w:pStyle w:val="NormaleWeb"/>
        <w:rPr>
          <w:rStyle w:val="Enfasigrassetto"/>
          <w:rFonts w:ascii="Calibri" w:hAnsi="Calibri"/>
          <w:sz w:val="28"/>
          <w:szCs w:val="28"/>
        </w:rPr>
      </w:pPr>
      <w:r w:rsidRPr="00310C1A">
        <w:rPr>
          <w:rStyle w:val="Enfasigrassetto"/>
          <w:rFonts w:ascii="Calibri" w:hAnsi="Calibri"/>
          <w:sz w:val="28"/>
          <w:szCs w:val="28"/>
        </w:rPr>
        <w:t>Professionisti con partita Iva: la nostra situazione attuale e come si è creata</w:t>
      </w:r>
    </w:p>
    <w:p w:rsidR="006C0F23" w:rsidRPr="00BE60B1" w:rsidRDefault="006C0F23" w:rsidP="002143B4">
      <w:pPr>
        <w:pStyle w:val="NormaleWeb"/>
        <w:jc w:val="both"/>
        <w:rPr>
          <w:rFonts w:ascii="Calibri" w:hAnsi="Calibri" w:cs="Arial"/>
          <w:bCs/>
          <w:sz w:val="22"/>
          <w:szCs w:val="22"/>
          <w:lang w:eastAsia="en-US"/>
        </w:rPr>
      </w:pPr>
      <w:r w:rsidRPr="00BE60B1">
        <w:rPr>
          <w:rFonts w:ascii="Calibri" w:hAnsi="Calibri" w:cs="Arial"/>
          <w:bCs/>
          <w:sz w:val="22"/>
          <w:szCs w:val="22"/>
          <w:lang w:eastAsia="en-US"/>
        </w:rPr>
        <w:t>Le professioni rappresentate dalla nostra associazione vengono generalmente svolte in regime di partita I</w:t>
      </w:r>
      <w:r w:rsidR="00697267" w:rsidRPr="00BE60B1">
        <w:rPr>
          <w:rFonts w:ascii="Calibri" w:hAnsi="Calibri" w:cs="Arial"/>
          <w:bCs/>
          <w:sz w:val="22"/>
          <w:szCs w:val="22"/>
          <w:lang w:eastAsia="en-US"/>
        </w:rPr>
        <w:t>VA</w:t>
      </w:r>
      <w:r w:rsidRPr="00BE60B1">
        <w:rPr>
          <w:rFonts w:ascii="Calibri" w:hAnsi="Calibri" w:cs="Arial"/>
          <w:bCs/>
          <w:sz w:val="22"/>
          <w:szCs w:val="22"/>
          <w:lang w:eastAsia="en-US"/>
        </w:rPr>
        <w:t xml:space="preserve">. I professionisti senza cassa privata sono tenuti all’iscrizione alla Gestione Separata INPS. </w:t>
      </w:r>
    </w:p>
    <w:p w:rsidR="006C0F23" w:rsidRPr="00BE60B1" w:rsidRDefault="006C0F23" w:rsidP="007171E4">
      <w:pPr>
        <w:pStyle w:val="NormaleWeb"/>
        <w:rPr>
          <w:rFonts w:ascii="Calibri" w:hAnsi="Calibri" w:cs="Arial"/>
          <w:bCs/>
          <w:sz w:val="22"/>
          <w:szCs w:val="22"/>
          <w:lang w:eastAsia="en-US"/>
        </w:rPr>
      </w:pPr>
      <w:r w:rsidRPr="00BE60B1">
        <w:rPr>
          <w:rFonts w:ascii="Calibri" w:hAnsi="Calibri" w:cs="Arial"/>
          <w:bCs/>
          <w:sz w:val="22"/>
          <w:szCs w:val="22"/>
          <w:lang w:eastAsia="en-US"/>
        </w:rPr>
        <w:t>La nostra situazione è particolarmente svantaggiata per i seguenti motivi.</w:t>
      </w:r>
    </w:p>
    <w:p w:rsidR="006C0F23" w:rsidRPr="00BE60B1" w:rsidRDefault="006C0F23" w:rsidP="002143B4">
      <w:pPr>
        <w:pStyle w:val="NormaleWeb"/>
        <w:numPr>
          <w:ilvl w:val="0"/>
          <w:numId w:val="3"/>
        </w:numPr>
        <w:jc w:val="both"/>
        <w:rPr>
          <w:rFonts w:ascii="Calibri" w:hAnsi="Calibri" w:cs="Arial"/>
          <w:bCs/>
          <w:sz w:val="22"/>
          <w:szCs w:val="22"/>
          <w:lang w:eastAsia="en-US"/>
        </w:rPr>
      </w:pPr>
      <w:r w:rsidRPr="00BE60B1">
        <w:rPr>
          <w:rFonts w:ascii="Calibri" w:hAnsi="Calibri" w:cs="Arial"/>
          <w:bCs/>
          <w:sz w:val="22"/>
          <w:szCs w:val="22"/>
          <w:lang w:eastAsia="en-US"/>
        </w:rPr>
        <w:t xml:space="preserve">In quanto autonomi scontiamo una presunzione di colpevolezza, pur non essendo per noi possibile alcuna evasione fiscale perché lavoriamo con imprese e pubbliche amministrazioni che richiedono fattura </w:t>
      </w:r>
      <w:r w:rsidR="00175082">
        <w:rPr>
          <w:rFonts w:ascii="Calibri" w:hAnsi="Calibri" w:cs="Arial"/>
          <w:bCs/>
          <w:sz w:val="22"/>
          <w:szCs w:val="22"/>
          <w:lang w:eastAsia="en-US"/>
        </w:rPr>
        <w:t xml:space="preserve">per </w:t>
      </w:r>
      <w:r w:rsidRPr="00BE60B1">
        <w:rPr>
          <w:rFonts w:ascii="Calibri" w:hAnsi="Calibri" w:cs="Arial"/>
          <w:bCs/>
          <w:sz w:val="22"/>
          <w:szCs w:val="22"/>
          <w:lang w:eastAsia="en-US"/>
        </w:rPr>
        <w:t xml:space="preserve">pagare. In aggiunta, una strana assimilazione alle imprese non ha ancora fatto chiarezza sulla questione Irap, che la maggior parte di noi continua a pagare.  </w:t>
      </w:r>
    </w:p>
    <w:p w:rsidR="00B4474D" w:rsidRDefault="006C0F23" w:rsidP="002143B4">
      <w:pPr>
        <w:pStyle w:val="NormaleWeb"/>
        <w:numPr>
          <w:ilvl w:val="0"/>
          <w:numId w:val="3"/>
        </w:numPr>
        <w:jc w:val="both"/>
        <w:rPr>
          <w:rFonts w:ascii="Calibri" w:hAnsi="Calibri" w:cs="Arial"/>
          <w:bCs/>
          <w:sz w:val="22"/>
          <w:szCs w:val="22"/>
          <w:lang w:eastAsia="en-US"/>
        </w:rPr>
      </w:pPr>
      <w:r w:rsidRPr="00B4474D">
        <w:rPr>
          <w:rFonts w:ascii="Calibri" w:hAnsi="Calibri" w:cs="Arial"/>
          <w:bCs/>
          <w:sz w:val="22"/>
          <w:szCs w:val="22"/>
          <w:lang w:eastAsia="en-US"/>
        </w:rPr>
        <w:t>In quanto iscritti alla Gestione Separata siamo definiti parasubordinati (!?) e come tali assimilati a chi non è realmente autonomo</w:t>
      </w:r>
      <w:r w:rsidR="00526309">
        <w:rPr>
          <w:rFonts w:ascii="Calibri" w:hAnsi="Calibri" w:cs="Arial"/>
          <w:bCs/>
          <w:sz w:val="22"/>
          <w:szCs w:val="22"/>
          <w:lang w:eastAsia="en-US"/>
        </w:rPr>
        <w:t>,</w:t>
      </w:r>
      <w:r w:rsidRPr="00B4474D">
        <w:rPr>
          <w:rFonts w:ascii="Calibri" w:hAnsi="Calibri" w:cs="Arial"/>
          <w:bCs/>
          <w:sz w:val="22"/>
          <w:szCs w:val="22"/>
          <w:lang w:eastAsia="en-US"/>
        </w:rPr>
        <w:t xml:space="preserve"> e perciò appesantiti da un sistema di aliquote contributive derivato dal lavoro dipendente, ma senza analoghe prestazioni. </w:t>
      </w:r>
    </w:p>
    <w:p w:rsidR="006C0F23" w:rsidRPr="00B4474D" w:rsidRDefault="006C0F23" w:rsidP="00B4474D">
      <w:pPr>
        <w:pStyle w:val="NormaleWeb"/>
        <w:jc w:val="both"/>
        <w:rPr>
          <w:rFonts w:ascii="Calibri" w:hAnsi="Calibri" w:cs="Arial"/>
          <w:bCs/>
          <w:sz w:val="22"/>
          <w:szCs w:val="22"/>
          <w:lang w:eastAsia="en-US"/>
        </w:rPr>
      </w:pPr>
      <w:r w:rsidRPr="00B4474D">
        <w:rPr>
          <w:rFonts w:ascii="Calibri" w:hAnsi="Calibri" w:cs="Arial"/>
          <w:bCs/>
          <w:sz w:val="22"/>
          <w:szCs w:val="22"/>
          <w:lang w:eastAsia="en-US"/>
        </w:rPr>
        <w:t>Un punto di grande attenzione è la contribuzione INPS, passata dal 10% del 1996 al 27,72% del 2012, con aumenti che spesso hanno coinciso con la necessità di fare cassa per finanziare misure a favore di altri lavoratori (ad esempio, l'accordo del welfare del 2007 per consentire il pensionamento a 58 anni di lavoratori in regime retributivo</w:t>
      </w:r>
      <w:r w:rsidR="00526309">
        <w:rPr>
          <w:rFonts w:ascii="Calibri" w:hAnsi="Calibri" w:cs="Arial"/>
          <w:bCs/>
          <w:sz w:val="22"/>
          <w:szCs w:val="22"/>
          <w:lang w:eastAsia="en-US"/>
        </w:rPr>
        <w:t xml:space="preserve"> o</w:t>
      </w:r>
      <w:r w:rsidR="00526309" w:rsidRPr="00B4474D">
        <w:rPr>
          <w:rFonts w:ascii="Calibri" w:hAnsi="Calibri" w:cs="Arial"/>
          <w:bCs/>
          <w:sz w:val="22"/>
          <w:szCs w:val="22"/>
          <w:lang w:eastAsia="en-US"/>
        </w:rPr>
        <w:t xml:space="preserve"> </w:t>
      </w:r>
      <w:r w:rsidRPr="00B4474D">
        <w:rPr>
          <w:rFonts w:ascii="Calibri" w:hAnsi="Calibri" w:cs="Arial"/>
          <w:bCs/>
          <w:sz w:val="22"/>
          <w:szCs w:val="22"/>
          <w:lang w:eastAsia="en-US"/>
        </w:rPr>
        <w:t>l'aumento legato alla manovra dell'agosto 2012 a favore dell'apprendistato). La  contribuzione previdenziale è quasi interamente riconducibile all’accantonamento ai fini pensionistici (27%). Solo lo 0,72% è volto a coprire la malattia e la maternità.</w:t>
      </w:r>
    </w:p>
    <w:p w:rsidR="00697267" w:rsidRDefault="006C0F23" w:rsidP="002143B4">
      <w:pPr>
        <w:pStyle w:val="NormaleWeb"/>
        <w:jc w:val="both"/>
        <w:rPr>
          <w:rFonts w:ascii="Calibri" w:hAnsi="Calibri" w:cs="Arial"/>
          <w:bCs/>
          <w:sz w:val="22"/>
          <w:szCs w:val="22"/>
          <w:lang w:eastAsia="en-US"/>
        </w:rPr>
      </w:pPr>
      <w:r w:rsidRPr="00BE60B1">
        <w:rPr>
          <w:rFonts w:ascii="Calibri" w:hAnsi="Calibri" w:cs="Arial"/>
          <w:bCs/>
          <w:sz w:val="22"/>
          <w:szCs w:val="22"/>
          <w:lang w:eastAsia="en-US"/>
        </w:rPr>
        <w:t xml:space="preserve">Contrariamente a quanto si sostiene, </w:t>
      </w:r>
      <w:r w:rsidRPr="00BE60B1">
        <w:rPr>
          <w:rFonts w:ascii="Calibri" w:hAnsi="Calibri" w:cs="Arial"/>
          <w:b/>
          <w:bCs/>
          <w:sz w:val="22"/>
          <w:szCs w:val="22"/>
          <w:lang w:eastAsia="en-US"/>
        </w:rPr>
        <w:t xml:space="preserve">la nostra contribuzione pensionistica è </w:t>
      </w:r>
      <w:r w:rsidR="00175082">
        <w:rPr>
          <w:rFonts w:ascii="Calibri" w:hAnsi="Calibri" w:cs="Arial"/>
          <w:b/>
          <w:bCs/>
          <w:sz w:val="22"/>
          <w:szCs w:val="22"/>
          <w:lang w:eastAsia="en-US"/>
        </w:rPr>
        <w:t xml:space="preserve">già ora </w:t>
      </w:r>
      <w:r w:rsidRPr="00BE60B1">
        <w:rPr>
          <w:rFonts w:ascii="Calibri" w:hAnsi="Calibri" w:cs="Arial"/>
          <w:b/>
          <w:bCs/>
          <w:sz w:val="22"/>
          <w:szCs w:val="22"/>
          <w:lang w:eastAsia="en-US"/>
        </w:rPr>
        <w:t>superiore a quella di tutti gli altri lavoratori, inclusi i dipendenti.</w:t>
      </w:r>
      <w:r w:rsidRPr="00BE60B1">
        <w:rPr>
          <w:rFonts w:ascii="Calibri" w:hAnsi="Calibri" w:cs="Arial"/>
          <w:bCs/>
          <w:sz w:val="22"/>
          <w:szCs w:val="22"/>
          <w:lang w:eastAsia="en-US"/>
        </w:rPr>
        <w:t xml:space="preserve"> L’equivoco nasce dalla comparazione tra due modalità diverse di calcolo. Dalla tavola successiva, che calcola il </w:t>
      </w:r>
      <w:r w:rsidRPr="00BE60B1">
        <w:rPr>
          <w:rFonts w:ascii="Calibri" w:hAnsi="Calibri"/>
          <w:bCs/>
          <w:sz w:val="22"/>
          <w:szCs w:val="22"/>
        </w:rPr>
        <w:t>cuneo fiscale e contributivo complessivo a partire da un costo del lavoro lordo di 40.000 euro,</w:t>
      </w:r>
      <w:r w:rsidRPr="00BE60B1">
        <w:rPr>
          <w:rFonts w:ascii="Calibri" w:hAnsi="Calibri" w:cs="Arial"/>
          <w:bCs/>
          <w:sz w:val="22"/>
          <w:szCs w:val="22"/>
          <w:lang w:eastAsia="en-US"/>
        </w:rPr>
        <w:t xml:space="preserve"> si evince che</w:t>
      </w:r>
      <w:r w:rsidR="00526309">
        <w:rPr>
          <w:rFonts w:ascii="Calibri" w:hAnsi="Calibri" w:cs="Arial"/>
          <w:bCs/>
          <w:sz w:val="22"/>
          <w:szCs w:val="22"/>
          <w:lang w:eastAsia="en-US"/>
        </w:rPr>
        <w:t>,</w:t>
      </w:r>
      <w:r w:rsidRPr="00BE60B1">
        <w:rPr>
          <w:rFonts w:ascii="Calibri" w:hAnsi="Calibri" w:cs="Arial"/>
          <w:bCs/>
          <w:sz w:val="22"/>
          <w:szCs w:val="22"/>
          <w:lang w:eastAsia="en-US"/>
        </w:rPr>
        <w:t xml:space="preserve"> prendendo a riferimento la stessa base di calcolo</w:t>
      </w:r>
      <w:r w:rsidR="00526309">
        <w:rPr>
          <w:rFonts w:ascii="Calibri" w:hAnsi="Calibri" w:cs="Arial"/>
          <w:bCs/>
          <w:sz w:val="22"/>
          <w:szCs w:val="22"/>
          <w:lang w:eastAsia="en-US"/>
        </w:rPr>
        <w:t>,</w:t>
      </w:r>
      <w:r w:rsidRPr="00BE60B1">
        <w:rPr>
          <w:rFonts w:ascii="Calibri" w:hAnsi="Calibri" w:cs="Arial"/>
          <w:bCs/>
          <w:sz w:val="22"/>
          <w:szCs w:val="22"/>
          <w:lang w:eastAsia="en-US"/>
        </w:rPr>
        <w:t xml:space="preserve"> la contribuzione pensionistica di un dipendente è intorno al 25%.</w:t>
      </w:r>
    </w:p>
    <w:p w:rsidR="006C0F23" w:rsidRPr="00BE60B1" w:rsidRDefault="00697267" w:rsidP="002143B4">
      <w:pPr>
        <w:pStyle w:val="NormaleWeb"/>
        <w:jc w:val="both"/>
        <w:rPr>
          <w:rFonts w:ascii="Calibri" w:hAnsi="Calibri" w:cs="Arial"/>
          <w:bCs/>
          <w:sz w:val="22"/>
          <w:szCs w:val="22"/>
          <w:lang w:eastAsia="en-US"/>
        </w:rPr>
      </w:pPr>
      <w:r>
        <w:rPr>
          <w:rFonts w:ascii="Calibri" w:hAnsi="Calibri" w:cs="Arial"/>
          <w:bCs/>
          <w:sz w:val="22"/>
          <w:szCs w:val="22"/>
          <w:lang w:eastAsia="en-US"/>
        </w:rPr>
        <w:br w:type="page"/>
      </w:r>
    </w:p>
    <w:tbl>
      <w:tblPr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0"/>
        <w:gridCol w:w="1112"/>
        <w:gridCol w:w="759"/>
        <w:gridCol w:w="860"/>
        <w:gridCol w:w="2320"/>
        <w:gridCol w:w="1260"/>
        <w:gridCol w:w="383"/>
        <w:gridCol w:w="494"/>
      </w:tblGrid>
      <w:tr w:rsidR="006C0F23" w:rsidRPr="00101DD8">
        <w:trPr>
          <w:trHeight w:val="224"/>
        </w:trPr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 w:rsidRPr="00101DD8">
              <w:rPr>
                <w:color w:val="000000"/>
                <w:sz w:val="24"/>
                <w:szCs w:val="24"/>
                <w:lang w:eastAsia="it-IT"/>
              </w:rPr>
              <w:t>Lavoratori Dipendenti</w:t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 w:rsidRPr="00101DD8">
              <w:rPr>
                <w:color w:val="000000"/>
                <w:sz w:val="24"/>
                <w:szCs w:val="24"/>
                <w:lang w:eastAsia="it-IT"/>
              </w:rPr>
              <w:t>Professionisti autonomi iscritti alla Gestione Separata</w:t>
            </w:r>
          </w:p>
        </w:tc>
      </w:tr>
      <w:tr w:rsidR="006C0F23" w:rsidRPr="00101DD8">
        <w:trPr>
          <w:trHeight w:val="7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rPr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rPr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% sul RAL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23" w:rsidRPr="00101DD8" w:rsidRDefault="006C0F23" w:rsidP="00101DD8">
            <w:pPr>
              <w:spacing w:after="0" w:line="240" w:lineRule="auto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% su costo del lavoro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rPr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rPr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% su fatturato</w:t>
            </w:r>
          </w:p>
        </w:tc>
      </w:tr>
      <w:tr w:rsidR="006C0F23" w:rsidRPr="00101DD8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23" w:rsidRPr="00101DD8" w:rsidRDefault="006C0F23" w:rsidP="00101DD8">
            <w:pPr>
              <w:spacing w:after="0" w:line="240" w:lineRule="auto"/>
              <w:rPr>
                <w:b/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Costo lavoro per l'azienda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€ 40.000,00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100%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23" w:rsidRPr="00101DD8" w:rsidRDefault="006C0F23" w:rsidP="00101DD8">
            <w:pPr>
              <w:spacing w:after="0" w:line="240" w:lineRule="auto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Costo lavoro per l'azienda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€ 40.000,00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</w:p>
        </w:tc>
      </w:tr>
      <w:tr w:rsidR="006C0F23" w:rsidRPr="00101DD8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23" w:rsidRPr="00101DD8" w:rsidRDefault="006C0F23" w:rsidP="00101DD8">
            <w:pPr>
              <w:spacing w:after="0" w:line="240" w:lineRule="auto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fondo pensioni (a carico azienda)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b/>
                <w:color w:val="000000"/>
                <w:sz w:val="18"/>
                <w:szCs w:val="18"/>
                <w:lang w:eastAsia="it-IT"/>
              </w:rPr>
              <w:t>€ 7.395,56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b/>
                <w:color w:val="000000"/>
                <w:sz w:val="18"/>
                <w:szCs w:val="18"/>
                <w:lang w:eastAsia="it-IT"/>
              </w:rPr>
              <w:t>23,81%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b/>
                <w:color w:val="000000"/>
                <w:sz w:val="18"/>
                <w:szCs w:val="18"/>
                <w:lang w:eastAsia="it-IT"/>
              </w:rPr>
              <w:t>18,49%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23" w:rsidRPr="00101DD8" w:rsidRDefault="006C0F23" w:rsidP="00101DD8">
            <w:pPr>
              <w:spacing w:after="0" w:line="240" w:lineRule="auto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 xml:space="preserve">inps previdenza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€ 10.800,00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27,00%</w:t>
            </w:r>
          </w:p>
        </w:tc>
      </w:tr>
      <w:tr w:rsidR="006C0F23" w:rsidRPr="00101DD8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23" w:rsidRPr="00101DD8" w:rsidRDefault="006C0F23" w:rsidP="00101DD8">
            <w:pPr>
              <w:spacing w:after="0" w:line="240" w:lineRule="auto"/>
              <w:rPr>
                <w:b/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Disoccupazione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€ 406,90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1,31%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1,02%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23" w:rsidRPr="00101DD8" w:rsidRDefault="006C0F23" w:rsidP="00101DD8">
            <w:pPr>
              <w:spacing w:after="0" w:line="240" w:lineRule="auto"/>
              <w:rPr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</w:p>
        </w:tc>
      </w:tr>
      <w:tr w:rsidR="006C0F23" w:rsidRPr="00101DD8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23" w:rsidRPr="00101DD8" w:rsidRDefault="006C0F23" w:rsidP="00101DD8">
            <w:pPr>
              <w:spacing w:after="0" w:line="240" w:lineRule="auto"/>
              <w:rPr>
                <w:b/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Formazione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€ 93,18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0,30%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0,23%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23" w:rsidRPr="00101DD8" w:rsidRDefault="006C0F23" w:rsidP="00101DD8">
            <w:pPr>
              <w:spacing w:after="0" w:line="240" w:lineRule="auto"/>
              <w:rPr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</w:p>
        </w:tc>
      </w:tr>
      <w:tr w:rsidR="006C0F23" w:rsidRPr="00101DD8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23" w:rsidRPr="00101DD8" w:rsidRDefault="006C0F23" w:rsidP="00101DD8">
            <w:pPr>
              <w:spacing w:after="0" w:line="240" w:lineRule="auto"/>
              <w:rPr>
                <w:b/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CUAF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€ 211,21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0,68%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0,53%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23" w:rsidRPr="00101DD8" w:rsidRDefault="006C0F23" w:rsidP="00101DD8">
            <w:pPr>
              <w:spacing w:after="0" w:line="240" w:lineRule="auto"/>
              <w:rPr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</w:p>
        </w:tc>
      </w:tr>
      <w:tr w:rsidR="006C0F23" w:rsidRPr="00101DD8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23" w:rsidRPr="00101DD8" w:rsidRDefault="006C0F23" w:rsidP="00101DD8">
            <w:pPr>
              <w:spacing w:after="0" w:line="240" w:lineRule="auto"/>
              <w:rPr>
                <w:b/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Indennità malattia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€ 757,88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2,44%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1,89%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23" w:rsidRPr="00101DD8" w:rsidRDefault="006C0F23" w:rsidP="00101DD8">
            <w:pPr>
              <w:spacing w:after="0" w:line="240" w:lineRule="auto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 xml:space="preserve">inps oneri sociali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€ 288,00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0,72%</w:t>
            </w:r>
          </w:p>
        </w:tc>
      </w:tr>
      <w:tr w:rsidR="006C0F23" w:rsidRPr="00101DD8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23" w:rsidRPr="00101DD8" w:rsidRDefault="006C0F23" w:rsidP="00101DD8">
            <w:pPr>
              <w:spacing w:after="0" w:line="240" w:lineRule="auto"/>
              <w:rPr>
                <w:b/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Indennità maternità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€ 74,55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0,24%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0,19%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23" w:rsidRPr="00101DD8" w:rsidRDefault="006C0F23" w:rsidP="00101DD8">
            <w:pPr>
              <w:spacing w:after="0" w:line="240" w:lineRule="auto"/>
              <w:rPr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</w:p>
        </w:tc>
      </w:tr>
      <w:tr w:rsidR="006C0F23" w:rsidRPr="00101DD8">
        <w:trPr>
          <w:trHeight w:val="49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23" w:rsidRPr="00101DD8" w:rsidRDefault="006C0F23" w:rsidP="00101DD8">
            <w:pPr>
              <w:spacing w:after="0" w:line="240" w:lineRule="auto"/>
              <w:rPr>
                <w:b/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Retribuzione annua lorda del dipendente (RAL)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€ 31.060,72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100%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23" w:rsidRPr="00101DD8" w:rsidRDefault="006C0F23" w:rsidP="00101DD8">
            <w:pPr>
              <w:spacing w:after="0" w:line="240" w:lineRule="auto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imponibile irpef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€ 28.912,00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</w:p>
        </w:tc>
      </w:tr>
      <w:tr w:rsidR="006C0F23" w:rsidRPr="00101DD8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23" w:rsidRPr="00101DD8" w:rsidRDefault="006C0F23" w:rsidP="00101DD8">
            <w:pPr>
              <w:spacing w:after="0" w:line="240" w:lineRule="auto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fondo pensioni (a carico lavoratore)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b/>
                <w:color w:val="000000"/>
                <w:sz w:val="18"/>
                <w:szCs w:val="18"/>
                <w:lang w:eastAsia="it-IT"/>
              </w:rPr>
              <w:t>€ 2.854,48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b/>
                <w:color w:val="000000"/>
                <w:sz w:val="18"/>
                <w:szCs w:val="18"/>
                <w:lang w:eastAsia="it-IT"/>
              </w:rPr>
              <w:t>9,19%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b/>
                <w:color w:val="000000"/>
                <w:sz w:val="18"/>
                <w:szCs w:val="18"/>
                <w:lang w:eastAsia="it-IT"/>
              </w:rPr>
              <w:t>7,14%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23" w:rsidRPr="00101DD8" w:rsidRDefault="006C0F23" w:rsidP="00101DD8">
            <w:pPr>
              <w:spacing w:after="0" w:line="240" w:lineRule="auto"/>
              <w:rPr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</w:p>
        </w:tc>
      </w:tr>
      <w:tr w:rsidR="006C0F23" w:rsidRPr="00101DD8">
        <w:trPr>
          <w:trHeight w:val="49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23" w:rsidRPr="00101DD8" w:rsidRDefault="006C0F23" w:rsidP="00101DD8">
            <w:pPr>
              <w:spacing w:after="0" w:line="240" w:lineRule="auto"/>
              <w:rPr>
                <w:b/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imponibile irpef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€ 28.206,24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23" w:rsidRPr="00101DD8" w:rsidRDefault="006C0F23" w:rsidP="00101DD8">
            <w:pPr>
              <w:spacing w:after="0" w:line="240" w:lineRule="auto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Irap (3,9% con franchigia di 9500 euro)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€ 757,07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</w:p>
        </w:tc>
      </w:tr>
      <w:tr w:rsidR="006C0F23" w:rsidRPr="00101DD8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23" w:rsidRPr="00101DD8" w:rsidRDefault="006C0F23" w:rsidP="00101DD8">
            <w:pPr>
              <w:spacing w:after="0" w:line="240" w:lineRule="auto"/>
              <w:rPr>
                <w:b/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IRPEF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€ 7.038,37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23" w:rsidRPr="00101DD8" w:rsidRDefault="006C0F23" w:rsidP="00101DD8">
            <w:pPr>
              <w:spacing w:after="0" w:line="240" w:lineRule="auto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IRPEF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€ 7.306,56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</w:p>
        </w:tc>
      </w:tr>
      <w:tr w:rsidR="006C0F23" w:rsidRPr="00101DD8">
        <w:trPr>
          <w:trHeight w:val="49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23" w:rsidRPr="00101DD8" w:rsidRDefault="006C0F23" w:rsidP="00101DD8">
            <w:pPr>
              <w:spacing w:after="0" w:line="240" w:lineRule="auto"/>
              <w:rPr>
                <w:b/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detrazioni lavoro dipendente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€ 836,00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23" w:rsidRPr="00101DD8" w:rsidRDefault="006C0F23" w:rsidP="00101DD8">
            <w:pPr>
              <w:spacing w:after="0" w:line="240" w:lineRule="auto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Detrazioni lavoro autonomo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€ 347,00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</w:p>
        </w:tc>
      </w:tr>
      <w:tr w:rsidR="006C0F23" w:rsidRPr="00101DD8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23" w:rsidRPr="00101DD8" w:rsidRDefault="006C0F23" w:rsidP="00101DD8">
            <w:pPr>
              <w:spacing w:after="0" w:line="240" w:lineRule="auto"/>
              <w:rPr>
                <w:b/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netto in busta paga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€ 22.003,87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23" w:rsidRPr="00101DD8" w:rsidRDefault="006C0F23" w:rsidP="00101DD8">
            <w:pPr>
              <w:spacing w:after="0" w:line="240" w:lineRule="auto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Reddito netto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€ 21.195,37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</w:p>
        </w:tc>
      </w:tr>
      <w:tr w:rsidR="006C0F23" w:rsidRPr="00101DD8">
        <w:trPr>
          <w:trHeight w:val="49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0F23" w:rsidRPr="00101DD8" w:rsidRDefault="006C0F23" w:rsidP="00101DD8">
            <w:pPr>
              <w:spacing w:after="0" w:line="240" w:lineRule="auto"/>
              <w:rPr>
                <w:b/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b/>
                <w:color w:val="000000"/>
                <w:sz w:val="18"/>
                <w:szCs w:val="18"/>
                <w:lang w:eastAsia="it-IT"/>
              </w:rPr>
              <w:t>Contribuzione pensionistica totale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b/>
                <w:color w:val="000000"/>
                <w:sz w:val="18"/>
                <w:szCs w:val="18"/>
                <w:lang w:eastAsia="it-IT"/>
              </w:rPr>
              <w:t>€ 10.250,04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b/>
                <w:color w:val="000000"/>
                <w:sz w:val="18"/>
                <w:szCs w:val="18"/>
                <w:lang w:eastAsia="it-IT"/>
              </w:rPr>
              <w:t>33,00%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b/>
                <w:color w:val="000000"/>
                <w:sz w:val="18"/>
                <w:szCs w:val="18"/>
                <w:lang w:eastAsia="it-IT"/>
              </w:rPr>
              <w:t>25,63%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0F23" w:rsidRPr="00101DD8" w:rsidRDefault="006C0F23" w:rsidP="00101DD8">
            <w:pPr>
              <w:spacing w:after="0" w:line="240" w:lineRule="auto"/>
              <w:rPr>
                <w:b/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b/>
                <w:color w:val="000000"/>
                <w:sz w:val="18"/>
                <w:szCs w:val="18"/>
                <w:lang w:eastAsia="it-IT"/>
              </w:rPr>
              <w:t>Contribuzione pensionistica totale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b/>
                <w:color w:val="000000"/>
                <w:sz w:val="18"/>
                <w:szCs w:val="18"/>
                <w:lang w:eastAsia="it-IT"/>
              </w:rPr>
              <w:t>€ 10.800,00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b/>
                <w:color w:val="000000"/>
                <w:sz w:val="18"/>
                <w:szCs w:val="18"/>
                <w:lang w:eastAsia="it-IT"/>
              </w:rPr>
              <w:t>27,00%</w:t>
            </w:r>
          </w:p>
        </w:tc>
      </w:tr>
      <w:tr w:rsidR="006C0F23" w:rsidRPr="00101DD8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23" w:rsidRPr="00101DD8" w:rsidRDefault="006C0F23" w:rsidP="00101DD8">
            <w:pPr>
              <w:spacing w:after="0" w:line="240" w:lineRule="auto"/>
              <w:rPr>
                <w:b/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Altri oneri sociali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€ 1.543,72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4,97%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3,86%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23" w:rsidRPr="00101DD8" w:rsidRDefault="006C0F23" w:rsidP="00101DD8">
            <w:pPr>
              <w:spacing w:after="0" w:line="240" w:lineRule="auto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Altri oneri sociali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€ 288,00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0,72%</w:t>
            </w:r>
          </w:p>
        </w:tc>
      </w:tr>
      <w:tr w:rsidR="006C0F23" w:rsidRPr="00101DD8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23" w:rsidRPr="00101DD8" w:rsidRDefault="006C0F23" w:rsidP="00101DD8">
            <w:pPr>
              <w:spacing w:after="0" w:line="240" w:lineRule="auto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Totale contributi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b/>
                <w:color w:val="000000"/>
                <w:sz w:val="18"/>
                <w:szCs w:val="18"/>
                <w:lang w:eastAsia="it-IT"/>
              </w:rPr>
              <w:t>€ 11.793,76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b/>
                <w:color w:val="000000"/>
                <w:sz w:val="18"/>
                <w:szCs w:val="18"/>
                <w:lang w:eastAsia="it-IT"/>
              </w:rPr>
              <w:t>37,97%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b/>
                <w:color w:val="000000"/>
                <w:sz w:val="18"/>
                <w:szCs w:val="18"/>
                <w:lang w:eastAsia="it-IT"/>
              </w:rPr>
              <w:t>29,48%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23" w:rsidRPr="00101DD8" w:rsidRDefault="006C0F23" w:rsidP="00101DD8">
            <w:pPr>
              <w:spacing w:after="0" w:line="240" w:lineRule="auto"/>
              <w:rPr>
                <w:b/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b/>
                <w:color w:val="000000"/>
                <w:sz w:val="18"/>
                <w:szCs w:val="18"/>
                <w:lang w:eastAsia="it-IT"/>
              </w:rPr>
              <w:t>Totale contributi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b/>
                <w:color w:val="000000"/>
                <w:sz w:val="18"/>
                <w:szCs w:val="18"/>
                <w:lang w:eastAsia="it-IT"/>
              </w:rPr>
              <w:t>€ 11.088,00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b/>
                <w:color w:val="000000"/>
                <w:sz w:val="18"/>
                <w:szCs w:val="18"/>
                <w:lang w:eastAsia="it-IT"/>
              </w:rPr>
              <w:t>27,72%</w:t>
            </w:r>
          </w:p>
        </w:tc>
      </w:tr>
      <w:tr w:rsidR="006C0F23" w:rsidRPr="00101DD8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23" w:rsidRPr="00101DD8" w:rsidRDefault="006C0F23" w:rsidP="00101DD8">
            <w:pPr>
              <w:spacing w:after="0" w:line="240" w:lineRule="auto"/>
              <w:rPr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color w:val="000000"/>
                <w:sz w:val="18"/>
                <w:szCs w:val="18"/>
                <w:lang w:eastAsia="it-IT"/>
              </w:rPr>
              <w:t>Totale Imposte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b/>
                <w:color w:val="000000"/>
                <w:sz w:val="18"/>
                <w:szCs w:val="18"/>
                <w:lang w:eastAsia="it-IT"/>
              </w:rPr>
              <w:t>€ 6.202,37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23" w:rsidRPr="00101DD8" w:rsidRDefault="006C0F23" w:rsidP="00101DD8">
            <w:pPr>
              <w:spacing w:after="0" w:line="240" w:lineRule="auto"/>
              <w:rPr>
                <w:b/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b/>
                <w:color w:val="000000"/>
                <w:sz w:val="18"/>
                <w:szCs w:val="18"/>
                <w:lang w:eastAsia="it-IT"/>
              </w:rPr>
              <w:t>Totale Imposte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it-IT"/>
              </w:rPr>
            </w:pPr>
            <w:r w:rsidRPr="00101DD8">
              <w:rPr>
                <w:b/>
                <w:color w:val="000000"/>
                <w:sz w:val="18"/>
                <w:szCs w:val="18"/>
                <w:lang w:eastAsia="it-IT"/>
              </w:rPr>
              <w:t>€ 7.716,63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F23" w:rsidRPr="00101DD8" w:rsidRDefault="006C0F23" w:rsidP="00101DD8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it-IT"/>
              </w:rPr>
            </w:pPr>
          </w:p>
        </w:tc>
      </w:tr>
      <w:tr w:rsidR="006C0F23" w:rsidRPr="00101D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56" w:type="dxa"/>
          <w:trHeight w:val="239"/>
        </w:trPr>
        <w:tc>
          <w:tcPr>
            <w:tcW w:w="923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F23" w:rsidRPr="00CA5BDD" w:rsidRDefault="006C0F23" w:rsidP="00CA5BDD">
            <w:pPr>
              <w:spacing w:after="0" w:line="240" w:lineRule="auto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 xml:space="preserve">Fonte per il lavoro dipendente:  </w:t>
            </w:r>
            <w:r w:rsidRPr="00CA5BDD">
              <w:rPr>
                <w:color w:val="000000"/>
                <w:lang w:eastAsia="it-IT"/>
              </w:rPr>
              <w:t xml:space="preserve">INPS tabelle </w:t>
            </w:r>
            <w:r>
              <w:rPr>
                <w:color w:val="000000"/>
                <w:lang w:eastAsia="it-IT"/>
              </w:rPr>
              <w:t>a</w:t>
            </w:r>
            <w:r w:rsidRPr="00CA5BDD">
              <w:rPr>
                <w:color w:val="000000"/>
                <w:lang w:eastAsia="it-IT"/>
              </w:rPr>
              <w:t>liquote contributive in vigore dal 1.1.2012</w:t>
            </w:r>
          </w:p>
        </w:tc>
      </w:tr>
    </w:tbl>
    <w:p w:rsidR="00064C34" w:rsidRDefault="00064C34" w:rsidP="007171E4">
      <w:pPr>
        <w:pStyle w:val="NormaleWeb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>La tavola mostra che :</w:t>
      </w:r>
    </w:p>
    <w:p w:rsidR="00064C34" w:rsidRDefault="00064C34" w:rsidP="00064C34">
      <w:pPr>
        <w:pStyle w:val="NormaleWeb"/>
        <w:numPr>
          <w:ilvl w:val="0"/>
          <w:numId w:val="14"/>
        </w:numPr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>Il peso di contributi e fisco è superiore per il professionista della gestione separata;</w:t>
      </w:r>
    </w:p>
    <w:p w:rsidR="00A268BD" w:rsidRPr="00064C34" w:rsidRDefault="00064C34" w:rsidP="00064C34">
      <w:pPr>
        <w:pStyle w:val="NormaleWeb"/>
        <w:numPr>
          <w:ilvl w:val="0"/>
          <w:numId w:val="14"/>
        </w:numPr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 xml:space="preserve">Il peso pensionistico è maggiore per il professionista della </w:t>
      </w:r>
      <w:r w:rsidR="00C84A63" w:rsidRPr="00064C34">
        <w:rPr>
          <w:rFonts w:cs="Arial"/>
          <w:sz w:val="22"/>
          <w:szCs w:val="22"/>
          <w:lang w:eastAsia="en-US"/>
        </w:rPr>
        <w:t>gestione separata (27% sul costo del lavoro, contro il 25,6%), mentre è più basso il peso degli altri oneri (0,72% contro 3,9%)</w:t>
      </w:r>
      <w:r>
        <w:rPr>
          <w:rFonts w:cs="Arial"/>
          <w:sz w:val="22"/>
          <w:szCs w:val="22"/>
          <w:lang w:eastAsia="en-US"/>
        </w:rPr>
        <w:t>;</w:t>
      </w:r>
    </w:p>
    <w:p w:rsidR="00A268BD" w:rsidRPr="00E77216" w:rsidRDefault="00C84A63" w:rsidP="00064C34">
      <w:pPr>
        <w:pStyle w:val="NormaleWeb"/>
        <w:numPr>
          <w:ilvl w:val="0"/>
          <w:numId w:val="14"/>
        </w:numPr>
        <w:rPr>
          <w:rFonts w:cs="Arial"/>
          <w:sz w:val="22"/>
          <w:szCs w:val="22"/>
          <w:lang w:eastAsia="en-US"/>
        </w:rPr>
      </w:pPr>
      <w:r w:rsidRPr="00E77216">
        <w:rPr>
          <w:rFonts w:cs="Arial"/>
          <w:sz w:val="22"/>
          <w:szCs w:val="22"/>
          <w:lang w:eastAsia="en-US"/>
        </w:rPr>
        <w:t>Il peso del fisco è maggiore per il professionista autonomo (Irap</w:t>
      </w:r>
      <w:r w:rsidR="00064C34" w:rsidRPr="00E77216">
        <w:rPr>
          <w:rFonts w:cs="Arial"/>
          <w:sz w:val="22"/>
          <w:szCs w:val="22"/>
          <w:lang w:eastAsia="en-US"/>
        </w:rPr>
        <w:t xml:space="preserve"> e minori detrazioni Irpef</w:t>
      </w:r>
      <w:r w:rsidRPr="00E77216">
        <w:rPr>
          <w:rFonts w:cs="Arial"/>
          <w:sz w:val="22"/>
          <w:szCs w:val="22"/>
          <w:lang w:eastAsia="en-US"/>
        </w:rPr>
        <w:t>), che inoltre deve sopportare il costo di un servizio di tenuta della contabilità</w:t>
      </w:r>
      <w:r w:rsidR="00064C34" w:rsidRPr="00E77216">
        <w:rPr>
          <w:rFonts w:cs="Arial"/>
          <w:sz w:val="22"/>
          <w:szCs w:val="22"/>
          <w:lang w:eastAsia="en-US"/>
        </w:rPr>
        <w:t>;</w:t>
      </w:r>
    </w:p>
    <w:p w:rsidR="00A268BD" w:rsidRPr="00E77216" w:rsidRDefault="00C84A63" w:rsidP="00064C34">
      <w:pPr>
        <w:pStyle w:val="NormaleWeb"/>
        <w:numPr>
          <w:ilvl w:val="0"/>
          <w:numId w:val="14"/>
        </w:numPr>
        <w:rPr>
          <w:rFonts w:cs="Arial"/>
          <w:sz w:val="22"/>
          <w:szCs w:val="22"/>
          <w:lang w:eastAsia="en-US"/>
        </w:rPr>
      </w:pPr>
      <w:r w:rsidRPr="00E77216">
        <w:rPr>
          <w:rFonts w:cs="Arial"/>
          <w:sz w:val="22"/>
          <w:szCs w:val="22"/>
          <w:lang w:eastAsia="en-US"/>
        </w:rPr>
        <w:t>Il divario nel sistema di tutele è noto</w:t>
      </w:r>
      <w:r w:rsidR="00064C34" w:rsidRPr="00E77216">
        <w:rPr>
          <w:rFonts w:cs="Arial"/>
          <w:sz w:val="22"/>
          <w:szCs w:val="22"/>
          <w:lang w:eastAsia="en-US"/>
        </w:rPr>
        <w:t>.</w:t>
      </w:r>
    </w:p>
    <w:p w:rsidR="009970E6" w:rsidRPr="00550627" w:rsidRDefault="00550627" w:rsidP="00064C34">
      <w:pPr>
        <w:pStyle w:val="NormaleWeb"/>
        <w:ind w:left="360"/>
        <w:rPr>
          <w:rFonts w:cs="Arial"/>
          <w:sz w:val="22"/>
          <w:szCs w:val="22"/>
          <w:lang w:eastAsia="en-US"/>
        </w:rPr>
      </w:pPr>
      <w:r w:rsidRPr="00550627">
        <w:rPr>
          <w:rFonts w:cs="Arial"/>
          <w:sz w:val="22"/>
          <w:szCs w:val="22"/>
          <w:lang w:eastAsia="en-US"/>
        </w:rPr>
        <w:t>I</w:t>
      </w:r>
      <w:r w:rsidR="00064C34">
        <w:rPr>
          <w:rFonts w:cs="Arial"/>
          <w:sz w:val="22"/>
          <w:szCs w:val="22"/>
          <w:lang w:eastAsia="en-US"/>
        </w:rPr>
        <w:t xml:space="preserve">n sintesi </w:t>
      </w:r>
      <w:r w:rsidRPr="00550627">
        <w:rPr>
          <w:rFonts w:cs="Arial"/>
          <w:sz w:val="22"/>
          <w:szCs w:val="22"/>
          <w:lang w:eastAsia="en-US"/>
        </w:rPr>
        <w:t xml:space="preserve">il nostro reddito disponibile (calcolato al lordo delle </w:t>
      </w:r>
      <w:r w:rsidR="00064C34">
        <w:rPr>
          <w:rFonts w:cs="Arial"/>
          <w:sz w:val="22"/>
          <w:szCs w:val="22"/>
          <w:lang w:eastAsia="en-US"/>
        </w:rPr>
        <w:t>imposte</w:t>
      </w:r>
      <w:r w:rsidRPr="00550627">
        <w:rPr>
          <w:rFonts w:cs="Arial"/>
          <w:sz w:val="22"/>
          <w:szCs w:val="22"/>
          <w:lang w:eastAsia="en-US"/>
        </w:rPr>
        <w:t xml:space="preserve"> locali) è </w:t>
      </w:r>
      <w:r w:rsidR="00064C34">
        <w:rPr>
          <w:rFonts w:cs="Arial"/>
          <w:sz w:val="22"/>
          <w:szCs w:val="22"/>
          <w:lang w:eastAsia="en-US"/>
        </w:rPr>
        <w:t xml:space="preserve">lievemente inferiore </w:t>
      </w:r>
      <w:r w:rsidRPr="00550627">
        <w:rPr>
          <w:rFonts w:cs="Arial"/>
          <w:sz w:val="22"/>
          <w:szCs w:val="22"/>
          <w:lang w:eastAsia="en-US"/>
        </w:rPr>
        <w:t>a quello di un dipendente, ma senza le tutele e le protezioni del lavoro dipendente.</w:t>
      </w:r>
    </w:p>
    <w:p w:rsidR="006C0F23" w:rsidRPr="00310C1A" w:rsidRDefault="006C0F23" w:rsidP="007171E4">
      <w:pPr>
        <w:pStyle w:val="NormaleWeb"/>
        <w:rPr>
          <w:rStyle w:val="Enfasigrassetto"/>
          <w:rFonts w:ascii="Calibri" w:hAnsi="Calibri"/>
          <w:sz w:val="28"/>
          <w:szCs w:val="28"/>
        </w:rPr>
      </w:pPr>
      <w:r w:rsidRPr="00310C1A">
        <w:rPr>
          <w:rStyle w:val="Enfasigrassetto"/>
          <w:rFonts w:ascii="Calibri" w:hAnsi="Calibri"/>
          <w:sz w:val="28"/>
          <w:szCs w:val="28"/>
        </w:rPr>
        <w:t>Cosa cambierebbe con il DDL</w:t>
      </w:r>
      <w:r w:rsidR="006D6568">
        <w:rPr>
          <w:rStyle w:val="Enfasigrassetto"/>
          <w:rFonts w:ascii="Calibri" w:hAnsi="Calibri"/>
          <w:sz w:val="28"/>
          <w:szCs w:val="28"/>
        </w:rPr>
        <w:t xml:space="preserve"> </w:t>
      </w:r>
      <w:r w:rsidR="00CF21E0">
        <w:rPr>
          <w:rStyle w:val="Enfasigrassetto"/>
          <w:rFonts w:ascii="Calibri" w:hAnsi="Calibri"/>
          <w:sz w:val="28"/>
          <w:szCs w:val="28"/>
        </w:rPr>
        <w:t>LAVORO</w:t>
      </w:r>
    </w:p>
    <w:p w:rsidR="00D334DB" w:rsidRDefault="006C0F23" w:rsidP="00EC1BCE">
      <w:pPr>
        <w:pStyle w:val="NormaleWeb"/>
        <w:jc w:val="both"/>
        <w:rPr>
          <w:rFonts w:ascii="Calibri" w:hAnsi="Calibri"/>
          <w:sz w:val="22"/>
          <w:szCs w:val="22"/>
        </w:rPr>
      </w:pPr>
      <w:r w:rsidRPr="00BE60B1">
        <w:rPr>
          <w:rFonts w:ascii="Calibri" w:hAnsi="Calibri"/>
          <w:sz w:val="22"/>
          <w:szCs w:val="22"/>
        </w:rPr>
        <w:t>Il DDL prevede</w:t>
      </w:r>
      <w:r w:rsidR="00736D9F">
        <w:rPr>
          <w:rFonts w:ascii="Calibri" w:hAnsi="Calibri"/>
          <w:sz w:val="22"/>
          <w:szCs w:val="22"/>
        </w:rPr>
        <w:t xml:space="preserve"> </w:t>
      </w:r>
      <w:r w:rsidRPr="00813D2D">
        <w:rPr>
          <w:rFonts w:ascii="Calibri" w:hAnsi="Calibri"/>
          <w:sz w:val="22"/>
          <w:szCs w:val="22"/>
        </w:rPr>
        <w:t>un</w:t>
      </w:r>
      <w:r w:rsidRPr="00813D2D">
        <w:rPr>
          <w:rStyle w:val="Enfasigrassetto"/>
          <w:rFonts w:ascii="Calibri" w:hAnsi="Calibri"/>
          <w:sz w:val="22"/>
          <w:szCs w:val="22"/>
        </w:rPr>
        <w:t xml:space="preserve"> incremento di 6 punti percentuali dell’aliquota pensionistica </w:t>
      </w:r>
      <w:r w:rsidRPr="00813D2D">
        <w:rPr>
          <w:rStyle w:val="Enfasigrassetto"/>
          <w:rFonts w:ascii="Calibri" w:hAnsi="Calibri"/>
          <w:b w:val="0"/>
          <w:sz w:val="22"/>
          <w:szCs w:val="22"/>
        </w:rPr>
        <w:t>per</w:t>
      </w:r>
      <w:r w:rsidRPr="00813D2D">
        <w:rPr>
          <w:rStyle w:val="Enfasigrassetto"/>
          <w:rFonts w:ascii="Calibri" w:hAnsi="Calibri"/>
          <w:sz w:val="22"/>
          <w:szCs w:val="22"/>
        </w:rPr>
        <w:t xml:space="preserve"> </w:t>
      </w:r>
      <w:r w:rsidRPr="00813D2D">
        <w:rPr>
          <w:rFonts w:ascii="Calibri" w:hAnsi="Calibri"/>
          <w:sz w:val="22"/>
          <w:szCs w:val="22"/>
        </w:rPr>
        <w:t xml:space="preserve">tutti i soggetti che versano nella </w:t>
      </w:r>
      <w:r w:rsidRPr="00813D2D">
        <w:rPr>
          <w:rStyle w:val="Enfasigrassetto"/>
          <w:rFonts w:ascii="Calibri" w:hAnsi="Calibri"/>
          <w:sz w:val="22"/>
          <w:szCs w:val="22"/>
        </w:rPr>
        <w:t xml:space="preserve">Gestione Separata dell’INPS, che passerebbe </w:t>
      </w:r>
      <w:r w:rsidRPr="00813D2D">
        <w:rPr>
          <w:rFonts w:ascii="Calibri" w:hAnsi="Calibri"/>
          <w:sz w:val="22"/>
          <w:szCs w:val="22"/>
        </w:rPr>
        <w:t>dall’attuale 27% al 33% nel 2018. Questo aumento interesserebbe anche i lavorato</w:t>
      </w:r>
      <w:r w:rsidR="0029727D">
        <w:rPr>
          <w:rFonts w:ascii="Calibri" w:hAnsi="Calibri"/>
          <w:sz w:val="22"/>
          <w:szCs w:val="22"/>
        </w:rPr>
        <w:t>ri indipendenti con partita IVA.</w:t>
      </w:r>
    </w:p>
    <w:p w:rsidR="008628B1" w:rsidRDefault="008628B1" w:rsidP="00EC1BCE">
      <w:pPr>
        <w:pStyle w:val="Normale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Inoltre il DDL prevede alcune norme di contrasto alle “finte</w:t>
      </w:r>
      <w:r w:rsidR="00CB039D">
        <w:rPr>
          <w:rFonts w:ascii="Calibri" w:hAnsi="Calibri"/>
          <w:sz w:val="22"/>
          <w:szCs w:val="22"/>
        </w:rPr>
        <w:t>”</w:t>
      </w:r>
      <w:r>
        <w:rPr>
          <w:rFonts w:ascii="Calibri" w:hAnsi="Calibri"/>
          <w:sz w:val="22"/>
          <w:szCs w:val="22"/>
        </w:rPr>
        <w:t xml:space="preserve"> partite IVA che, così come sono formulate, rischiano di danneggiare anche le </w:t>
      </w:r>
      <w:r w:rsidR="00CB039D">
        <w:rPr>
          <w:rFonts w:ascii="Calibri" w:hAnsi="Calibri"/>
          <w:sz w:val="22"/>
          <w:szCs w:val="22"/>
        </w:rPr>
        <w:t>“</w:t>
      </w:r>
      <w:r>
        <w:rPr>
          <w:rFonts w:ascii="Calibri" w:hAnsi="Calibri"/>
          <w:sz w:val="22"/>
          <w:szCs w:val="22"/>
        </w:rPr>
        <w:t>vere</w:t>
      </w:r>
      <w:r w:rsidR="00CB039D">
        <w:rPr>
          <w:rFonts w:ascii="Calibri" w:hAnsi="Calibri"/>
          <w:sz w:val="22"/>
          <w:szCs w:val="22"/>
        </w:rPr>
        <w:t>”</w:t>
      </w:r>
      <w:r>
        <w:rPr>
          <w:rFonts w:ascii="Calibri" w:hAnsi="Calibri"/>
          <w:sz w:val="22"/>
          <w:szCs w:val="22"/>
        </w:rPr>
        <w:t xml:space="preserve"> partite IVA, perché le pone nelle condizioni di dover dimostrare a priori ai propri clienti </w:t>
      </w:r>
      <w:r w:rsidR="000C3978">
        <w:rPr>
          <w:rFonts w:ascii="Calibri" w:hAnsi="Calibri"/>
          <w:sz w:val="22"/>
          <w:szCs w:val="22"/>
        </w:rPr>
        <w:t>di avere un fatturato adeguato o altri clienti importanti, e che quindi non si ricade nel rischio di dover essere stabilizzati</w:t>
      </w:r>
      <w:r>
        <w:rPr>
          <w:rFonts w:ascii="Calibri" w:hAnsi="Calibri"/>
          <w:sz w:val="22"/>
          <w:szCs w:val="22"/>
        </w:rPr>
        <w:t xml:space="preserve">. Dimostrazione che </w:t>
      </w:r>
      <w:r w:rsidR="000C3978">
        <w:rPr>
          <w:rFonts w:ascii="Calibri" w:hAnsi="Calibri"/>
          <w:sz w:val="22"/>
          <w:szCs w:val="22"/>
        </w:rPr>
        <w:t>richiederà di mostrare le precedenti dichiarazioni dei redditi e le</w:t>
      </w:r>
      <w:r>
        <w:rPr>
          <w:rFonts w:ascii="Calibri" w:hAnsi="Calibri"/>
          <w:sz w:val="22"/>
          <w:szCs w:val="22"/>
        </w:rPr>
        <w:t xml:space="preserve"> precedenti fatture</w:t>
      </w:r>
      <w:r w:rsidR="000C3978">
        <w:rPr>
          <w:rFonts w:ascii="Calibri" w:hAnsi="Calibri"/>
          <w:sz w:val="22"/>
          <w:szCs w:val="22"/>
        </w:rPr>
        <w:t>, di dare cioè informazioni che qualunque professionista non vorrebbe mai fornire al proprio cliente proprio per non indebolire la propria posizione contrattuale</w:t>
      </w:r>
      <w:r>
        <w:rPr>
          <w:rFonts w:ascii="Calibri" w:hAnsi="Calibri"/>
          <w:sz w:val="22"/>
          <w:szCs w:val="22"/>
        </w:rPr>
        <w:t>.</w:t>
      </w:r>
    </w:p>
    <w:p w:rsidR="00BF2142" w:rsidRPr="00274616" w:rsidRDefault="00BF2142" w:rsidP="00BF2142">
      <w:pPr>
        <w:pStyle w:val="NormaleWeb"/>
        <w:rPr>
          <w:rStyle w:val="Enfasigrassetto"/>
          <w:rFonts w:ascii="Calibri" w:hAnsi="Calibri"/>
          <w:sz w:val="28"/>
          <w:szCs w:val="28"/>
        </w:rPr>
      </w:pPr>
      <w:r w:rsidRPr="00274616">
        <w:rPr>
          <w:rStyle w:val="Enfasigrassetto"/>
          <w:rFonts w:ascii="Calibri" w:hAnsi="Calibri"/>
          <w:sz w:val="28"/>
          <w:szCs w:val="28"/>
        </w:rPr>
        <w:t>Perché siamo contrari</w:t>
      </w:r>
    </w:p>
    <w:p w:rsidR="00BF2142" w:rsidRPr="009D277B" w:rsidRDefault="00BF2142" w:rsidP="00B4474D">
      <w:pPr>
        <w:pStyle w:val="NormaleWeb"/>
        <w:numPr>
          <w:ilvl w:val="0"/>
          <w:numId w:val="10"/>
        </w:numPr>
        <w:jc w:val="both"/>
        <w:rPr>
          <w:rFonts w:ascii="Calibri" w:hAnsi="Calibri"/>
          <w:b/>
          <w:sz w:val="22"/>
          <w:szCs w:val="22"/>
        </w:rPr>
      </w:pPr>
      <w:r w:rsidRPr="009D277B">
        <w:rPr>
          <w:rFonts w:ascii="Calibri" w:hAnsi="Calibri"/>
          <w:b/>
          <w:sz w:val="22"/>
          <w:szCs w:val="22"/>
        </w:rPr>
        <w:t xml:space="preserve">Perché è una misura iniqua </w:t>
      </w:r>
    </w:p>
    <w:p w:rsidR="009D277B" w:rsidRDefault="00D334DB" w:rsidP="00EC1BCE">
      <w:pPr>
        <w:pStyle w:val="Normale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9D277B">
        <w:rPr>
          <w:rFonts w:ascii="Calibri" w:hAnsi="Calibri"/>
          <w:sz w:val="22"/>
          <w:szCs w:val="22"/>
        </w:rPr>
        <w:t>a nostra contribuzione diventerebbe molto più elevata di quella di tutti gli altri lavoratori, anche dipendenti</w:t>
      </w:r>
      <w:r w:rsidR="0029727D">
        <w:rPr>
          <w:rFonts w:ascii="Calibri" w:hAnsi="Calibri"/>
          <w:sz w:val="22"/>
          <w:szCs w:val="22"/>
        </w:rPr>
        <w:t>, ma soprattutto più che doppia (in qualche caso quasi tripla) rispetto ai professionisti autonomi con casse private, con i quali frequentemente ci si confronta sul mercato (si pensi a informatici che si ritrovano a competere con ingegneri informatici, formatori con psicologi, commercialisti con tributaristi)</w:t>
      </w:r>
      <w:r w:rsidR="00526309">
        <w:rPr>
          <w:rFonts w:ascii="Calibri" w:hAnsi="Calibri"/>
          <w:sz w:val="22"/>
          <w:szCs w:val="22"/>
        </w:rPr>
        <w:t>.</w:t>
      </w:r>
    </w:p>
    <w:p w:rsidR="00D91A07" w:rsidRPr="00D91A07" w:rsidRDefault="00D91A07" w:rsidP="00D91A07">
      <w:pPr>
        <w:pStyle w:val="NormaleWeb"/>
        <w:spacing w:after="0" w:afterAutospacing="0"/>
        <w:jc w:val="both"/>
        <w:rPr>
          <w:rFonts w:ascii="Calibri" w:hAnsi="Calibri"/>
          <w:i/>
          <w:sz w:val="22"/>
          <w:szCs w:val="22"/>
        </w:rPr>
      </w:pPr>
      <w:r w:rsidRPr="00D91A07">
        <w:rPr>
          <w:rFonts w:ascii="Calibri" w:hAnsi="Calibri"/>
          <w:i/>
          <w:sz w:val="22"/>
          <w:szCs w:val="22"/>
        </w:rPr>
        <w:t>Grafico. 1 Incidenza contribuzione pensionistica per tipologie di lavoratori</w:t>
      </w:r>
    </w:p>
    <w:p w:rsidR="00DC1723" w:rsidRDefault="00515879" w:rsidP="00EC1BCE">
      <w:pPr>
        <w:pStyle w:val="NormaleWeb"/>
        <w:jc w:val="both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4572762" cy="2742194"/>
            <wp:effectExtent l="19050" t="0" r="18288" b="1006"/>
            <wp:docPr id="2" name="Grafic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A36AE" w:rsidRPr="00EA36AE" w:rsidRDefault="00EA36AE" w:rsidP="00EA36AE">
      <w:pPr>
        <w:spacing w:after="0" w:line="240" w:lineRule="auto"/>
        <w:jc w:val="both"/>
        <w:rPr>
          <w:color w:val="000000"/>
          <w:lang w:eastAsia="it-IT"/>
        </w:rPr>
      </w:pPr>
      <w:r w:rsidRPr="00EA36AE">
        <w:rPr>
          <w:color w:val="000000"/>
          <w:lang w:eastAsia="it-IT"/>
        </w:rPr>
        <w:t>* dato medio: le aliquote delle diverse casse sono differenziate, ma comunque inferiori al 15%</w:t>
      </w:r>
    </w:p>
    <w:p w:rsidR="00DC1723" w:rsidRDefault="00DC1723" w:rsidP="00EC1BCE">
      <w:pPr>
        <w:pStyle w:val="NormaleWeb"/>
        <w:jc w:val="both"/>
        <w:rPr>
          <w:rFonts w:ascii="Calibri" w:hAnsi="Calibri"/>
          <w:sz w:val="22"/>
          <w:szCs w:val="22"/>
        </w:rPr>
      </w:pPr>
    </w:p>
    <w:p w:rsidR="00BF2142" w:rsidRDefault="00CF21E0" w:rsidP="00EC1BCE">
      <w:pPr>
        <w:pStyle w:val="NormaleWeb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EA36AE">
        <w:rPr>
          <w:rFonts w:ascii="Calibri" w:hAnsi="Calibri"/>
          <w:b/>
          <w:sz w:val="22"/>
          <w:szCs w:val="22"/>
        </w:rPr>
        <w:t>Perché è una misura decisa solo per fare cassa</w:t>
      </w:r>
      <w:r w:rsidRPr="00EA36AE">
        <w:rPr>
          <w:rFonts w:ascii="Calibri" w:hAnsi="Calibri"/>
          <w:sz w:val="22"/>
          <w:szCs w:val="22"/>
        </w:rPr>
        <w:t xml:space="preserve"> e coprire prestazioni </w:t>
      </w:r>
      <w:r w:rsidR="00D334DB">
        <w:rPr>
          <w:rFonts w:ascii="Calibri" w:hAnsi="Calibri"/>
          <w:sz w:val="22"/>
          <w:szCs w:val="22"/>
        </w:rPr>
        <w:t xml:space="preserve">da cui siamo esclusi: </w:t>
      </w:r>
      <w:r w:rsidRPr="00EA36AE">
        <w:rPr>
          <w:rFonts w:ascii="Calibri" w:hAnsi="Calibri"/>
          <w:sz w:val="22"/>
          <w:szCs w:val="22"/>
        </w:rPr>
        <w:t>ASPI</w:t>
      </w:r>
      <w:r w:rsidR="00D334DB">
        <w:rPr>
          <w:rFonts w:ascii="Calibri" w:hAnsi="Calibri"/>
          <w:sz w:val="22"/>
          <w:szCs w:val="22"/>
        </w:rPr>
        <w:t xml:space="preserve"> e sostegno agli </w:t>
      </w:r>
      <w:proofErr w:type="spellStart"/>
      <w:r w:rsidRPr="00EA36AE">
        <w:rPr>
          <w:rFonts w:ascii="Calibri" w:hAnsi="Calibri"/>
          <w:sz w:val="22"/>
          <w:szCs w:val="22"/>
        </w:rPr>
        <w:t>esodati</w:t>
      </w:r>
      <w:proofErr w:type="spellEnd"/>
      <w:r w:rsidRPr="00EA36AE">
        <w:rPr>
          <w:rFonts w:ascii="Calibri" w:hAnsi="Calibri"/>
          <w:sz w:val="22"/>
          <w:szCs w:val="22"/>
        </w:rPr>
        <w:t>.</w:t>
      </w:r>
    </w:p>
    <w:p w:rsidR="0097569C" w:rsidRDefault="0097569C" w:rsidP="0097569C">
      <w:pPr>
        <w:pStyle w:val="NormaleWeb"/>
        <w:jc w:val="both"/>
        <w:rPr>
          <w:rFonts w:ascii="Calibri" w:hAnsi="Calibri"/>
          <w:sz w:val="22"/>
          <w:szCs w:val="22"/>
        </w:rPr>
      </w:pPr>
    </w:p>
    <w:p w:rsidR="00D91A07" w:rsidRPr="00247048" w:rsidRDefault="00D91A07" w:rsidP="00D91A07">
      <w:pPr>
        <w:pStyle w:val="NormaleWeb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F75280">
        <w:rPr>
          <w:rFonts w:ascii="Calibri" w:hAnsi="Calibri"/>
          <w:b/>
          <w:sz w:val="22"/>
          <w:szCs w:val="22"/>
        </w:rPr>
        <w:t>Perché è contro la storia e contro la crescita del Paese</w:t>
      </w:r>
      <w:r w:rsidR="00247048">
        <w:rPr>
          <w:rFonts w:ascii="Calibri" w:hAnsi="Calibri"/>
          <w:b/>
          <w:sz w:val="22"/>
          <w:szCs w:val="22"/>
        </w:rPr>
        <w:t>.</w:t>
      </w:r>
    </w:p>
    <w:p w:rsidR="00D91A07" w:rsidRDefault="00247048" w:rsidP="00D91A07">
      <w:pPr>
        <w:pStyle w:val="Normale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È</w:t>
      </w:r>
      <w:r w:rsidRPr="007E68DC">
        <w:rPr>
          <w:rFonts w:ascii="Calibri" w:hAnsi="Calibri"/>
          <w:sz w:val="22"/>
          <w:szCs w:val="22"/>
        </w:rPr>
        <w:t xml:space="preserve"> </w:t>
      </w:r>
      <w:r w:rsidR="00D91A07" w:rsidRPr="007E68DC">
        <w:rPr>
          <w:rFonts w:ascii="Calibri" w:hAnsi="Calibri"/>
          <w:sz w:val="22"/>
          <w:szCs w:val="22"/>
        </w:rPr>
        <w:t>mortificante, per un Paese come l’Italia che ha problemi di competitività, una visione del mondo del lavoro tutta rivolta all’indietro</w:t>
      </w:r>
      <w:r w:rsidR="00D334DB">
        <w:rPr>
          <w:rFonts w:ascii="Calibri" w:hAnsi="Calibri"/>
          <w:sz w:val="22"/>
          <w:szCs w:val="22"/>
        </w:rPr>
        <w:t xml:space="preserve">, </w:t>
      </w:r>
      <w:r w:rsidR="00D91A07">
        <w:rPr>
          <w:rFonts w:ascii="Calibri" w:hAnsi="Calibri"/>
          <w:sz w:val="22"/>
          <w:szCs w:val="22"/>
        </w:rPr>
        <w:t>costruit</w:t>
      </w:r>
      <w:r w:rsidR="00D334DB">
        <w:rPr>
          <w:rFonts w:ascii="Calibri" w:hAnsi="Calibri"/>
          <w:sz w:val="22"/>
          <w:szCs w:val="22"/>
        </w:rPr>
        <w:t>a</w:t>
      </w:r>
      <w:r w:rsidR="00D91A07">
        <w:rPr>
          <w:rFonts w:ascii="Calibri" w:hAnsi="Calibri"/>
          <w:sz w:val="22"/>
          <w:szCs w:val="22"/>
        </w:rPr>
        <w:t xml:space="preserve"> sul lavoro dipendente </w:t>
      </w:r>
      <w:r w:rsidR="00D91A07" w:rsidRPr="007E68DC">
        <w:rPr>
          <w:rFonts w:ascii="Calibri" w:hAnsi="Calibri"/>
          <w:sz w:val="22"/>
          <w:szCs w:val="22"/>
        </w:rPr>
        <w:t>e priva di una minima proiezione verso il futuro</w:t>
      </w:r>
      <w:r w:rsidR="00D91A07">
        <w:rPr>
          <w:rFonts w:ascii="Calibri" w:hAnsi="Calibri"/>
          <w:sz w:val="22"/>
          <w:szCs w:val="22"/>
        </w:rPr>
        <w:t xml:space="preserve"> del lavoro </w:t>
      </w:r>
      <w:proofErr w:type="spellStart"/>
      <w:r>
        <w:rPr>
          <w:rFonts w:ascii="Calibri" w:hAnsi="Calibri"/>
          <w:sz w:val="22"/>
          <w:szCs w:val="22"/>
        </w:rPr>
        <w:t>post-</w:t>
      </w:r>
      <w:r w:rsidR="00D91A07">
        <w:rPr>
          <w:rFonts w:ascii="Calibri" w:hAnsi="Calibri"/>
          <w:sz w:val="22"/>
          <w:szCs w:val="22"/>
        </w:rPr>
        <w:t>fordista</w:t>
      </w:r>
      <w:proofErr w:type="spellEnd"/>
      <w:r w:rsidR="00D91A07">
        <w:rPr>
          <w:rFonts w:ascii="Calibri" w:hAnsi="Calibri"/>
          <w:sz w:val="22"/>
          <w:szCs w:val="22"/>
        </w:rPr>
        <w:t>. Paradossalmente la misura</w:t>
      </w:r>
      <w:r w:rsidR="00D334DB">
        <w:rPr>
          <w:rFonts w:ascii="Calibri" w:hAnsi="Calibri"/>
          <w:sz w:val="22"/>
          <w:szCs w:val="22"/>
        </w:rPr>
        <w:t xml:space="preserve"> </w:t>
      </w:r>
      <w:r w:rsidR="00D91A07">
        <w:rPr>
          <w:rFonts w:ascii="Calibri" w:hAnsi="Calibri"/>
          <w:sz w:val="22"/>
          <w:szCs w:val="22"/>
        </w:rPr>
        <w:t xml:space="preserve">colpisce </w:t>
      </w:r>
      <w:r>
        <w:rPr>
          <w:rFonts w:ascii="Calibri" w:hAnsi="Calibri"/>
          <w:sz w:val="22"/>
          <w:szCs w:val="22"/>
        </w:rPr>
        <w:t>le categorie di</w:t>
      </w:r>
      <w:r w:rsidR="00D91A0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lavoratori </w:t>
      </w:r>
      <w:r w:rsidR="00D91A07">
        <w:rPr>
          <w:rFonts w:ascii="Calibri" w:hAnsi="Calibri"/>
          <w:sz w:val="22"/>
          <w:szCs w:val="22"/>
        </w:rPr>
        <w:t>che dovrebbero essere sostenute e che il Governo dice di voler sostenere:</w:t>
      </w:r>
    </w:p>
    <w:p w:rsidR="00D91A07" w:rsidRDefault="00247048" w:rsidP="00D91A07">
      <w:pPr>
        <w:pStyle w:val="NormaleWeb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</w:t>
      </w:r>
      <w:r w:rsidR="00D91A07">
        <w:rPr>
          <w:rFonts w:ascii="Calibri" w:hAnsi="Calibri"/>
          <w:sz w:val="22"/>
          <w:szCs w:val="22"/>
        </w:rPr>
        <w:t>lavor</w:t>
      </w:r>
      <w:r>
        <w:rPr>
          <w:rFonts w:ascii="Calibri" w:hAnsi="Calibri"/>
          <w:sz w:val="22"/>
          <w:szCs w:val="22"/>
        </w:rPr>
        <w:t>atori</w:t>
      </w:r>
      <w:r w:rsidR="00D91A07">
        <w:rPr>
          <w:rFonts w:ascii="Calibri" w:hAnsi="Calibri"/>
          <w:sz w:val="22"/>
          <w:szCs w:val="22"/>
        </w:rPr>
        <w:t xml:space="preserve"> che</w:t>
      </w:r>
      <w:r>
        <w:rPr>
          <w:rFonts w:ascii="Calibri" w:hAnsi="Calibri"/>
          <w:sz w:val="22"/>
          <w:szCs w:val="22"/>
        </w:rPr>
        <w:t xml:space="preserve"> con i loro servizi</w:t>
      </w:r>
      <w:r w:rsidR="00D91A07">
        <w:rPr>
          <w:rFonts w:ascii="Calibri" w:hAnsi="Calibri"/>
          <w:sz w:val="22"/>
          <w:szCs w:val="22"/>
        </w:rPr>
        <w:t xml:space="preserve"> assicura</w:t>
      </w:r>
      <w:r>
        <w:rPr>
          <w:rFonts w:ascii="Calibri" w:hAnsi="Calibri"/>
          <w:sz w:val="22"/>
          <w:szCs w:val="22"/>
        </w:rPr>
        <w:t>no</w:t>
      </w:r>
      <w:r w:rsidR="00D91A07">
        <w:rPr>
          <w:rFonts w:ascii="Calibri" w:hAnsi="Calibri"/>
          <w:sz w:val="22"/>
          <w:szCs w:val="22"/>
        </w:rPr>
        <w:t xml:space="preserve"> la </w:t>
      </w:r>
      <w:r w:rsidR="00D91A07" w:rsidRPr="009E64E1">
        <w:rPr>
          <w:rFonts w:ascii="Calibri" w:hAnsi="Calibri"/>
          <w:b/>
          <w:sz w:val="22"/>
          <w:szCs w:val="22"/>
        </w:rPr>
        <w:t>flessibilità</w:t>
      </w:r>
      <w:r w:rsidR="00D91A0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richiesta dal</w:t>
      </w:r>
      <w:r w:rsidR="00D91A07">
        <w:rPr>
          <w:rFonts w:ascii="Calibri" w:hAnsi="Calibri"/>
          <w:sz w:val="22"/>
          <w:szCs w:val="22"/>
        </w:rPr>
        <w:t xml:space="preserve">le </w:t>
      </w:r>
      <w:r>
        <w:rPr>
          <w:rFonts w:ascii="Calibri" w:hAnsi="Calibri"/>
          <w:sz w:val="22"/>
          <w:szCs w:val="22"/>
        </w:rPr>
        <w:t xml:space="preserve">imprese </w:t>
      </w:r>
      <w:r w:rsidR="00D91A07">
        <w:rPr>
          <w:rFonts w:ascii="Calibri" w:hAnsi="Calibri"/>
          <w:sz w:val="22"/>
          <w:szCs w:val="22"/>
        </w:rPr>
        <w:t xml:space="preserve">(ma anche </w:t>
      </w:r>
      <w:r>
        <w:rPr>
          <w:rFonts w:ascii="Calibri" w:hAnsi="Calibri"/>
          <w:sz w:val="22"/>
          <w:szCs w:val="22"/>
        </w:rPr>
        <w:t>dal</w:t>
      </w:r>
      <w:r w:rsidR="00D91A07">
        <w:rPr>
          <w:rFonts w:ascii="Calibri" w:hAnsi="Calibri"/>
          <w:sz w:val="22"/>
          <w:szCs w:val="22"/>
        </w:rPr>
        <w:t xml:space="preserve">le pubbliche amministrazioni) </w:t>
      </w:r>
      <w:r>
        <w:rPr>
          <w:rFonts w:ascii="Calibri" w:hAnsi="Calibri"/>
          <w:sz w:val="22"/>
          <w:szCs w:val="22"/>
        </w:rPr>
        <w:t>coerentemente</w:t>
      </w:r>
      <w:r w:rsidR="00D91A07">
        <w:rPr>
          <w:rFonts w:ascii="Calibri" w:hAnsi="Calibri"/>
          <w:sz w:val="22"/>
          <w:szCs w:val="22"/>
        </w:rPr>
        <w:t xml:space="preserve"> con le esigenze di un’economia post</w:t>
      </w:r>
      <w:r>
        <w:rPr>
          <w:rFonts w:ascii="Calibri" w:hAnsi="Calibri"/>
          <w:sz w:val="22"/>
          <w:szCs w:val="22"/>
        </w:rPr>
        <w:t>-</w:t>
      </w:r>
      <w:r w:rsidR="00D91A07">
        <w:rPr>
          <w:rFonts w:ascii="Calibri" w:hAnsi="Calibri"/>
          <w:sz w:val="22"/>
          <w:szCs w:val="22"/>
        </w:rPr>
        <w:t>fordista</w:t>
      </w:r>
      <w:r>
        <w:rPr>
          <w:rFonts w:ascii="Calibri" w:hAnsi="Calibri"/>
          <w:sz w:val="22"/>
          <w:szCs w:val="22"/>
        </w:rPr>
        <w:t>.</w:t>
      </w:r>
    </w:p>
    <w:p w:rsidR="00D91A07" w:rsidRDefault="00247048" w:rsidP="00D91A07">
      <w:pPr>
        <w:pStyle w:val="NormaleWeb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lavoratori</w:t>
      </w:r>
      <w:r w:rsidR="00D91A07">
        <w:rPr>
          <w:rFonts w:ascii="Calibri" w:hAnsi="Calibri"/>
          <w:sz w:val="22"/>
          <w:szCs w:val="22"/>
        </w:rPr>
        <w:t xml:space="preserve"> creativ</w:t>
      </w:r>
      <w:r>
        <w:rPr>
          <w:rFonts w:ascii="Calibri" w:hAnsi="Calibri"/>
          <w:sz w:val="22"/>
          <w:szCs w:val="22"/>
        </w:rPr>
        <w:t>i</w:t>
      </w:r>
      <w:r w:rsidR="00D91A07">
        <w:rPr>
          <w:rFonts w:ascii="Calibri" w:hAnsi="Calibri"/>
          <w:sz w:val="22"/>
          <w:szCs w:val="22"/>
        </w:rPr>
        <w:t xml:space="preserve"> e</w:t>
      </w:r>
      <w:r>
        <w:rPr>
          <w:rFonts w:ascii="Calibri" w:hAnsi="Calibri"/>
          <w:sz w:val="22"/>
          <w:szCs w:val="22"/>
        </w:rPr>
        <w:t xml:space="preserve"> della conoscenza,</w:t>
      </w:r>
      <w:r w:rsidR="00D91A07">
        <w:rPr>
          <w:rFonts w:ascii="Calibri" w:hAnsi="Calibri"/>
          <w:sz w:val="22"/>
          <w:szCs w:val="22"/>
        </w:rPr>
        <w:t xml:space="preserve"> che già ora tend</w:t>
      </w:r>
      <w:r>
        <w:rPr>
          <w:rFonts w:ascii="Calibri" w:hAnsi="Calibri"/>
          <w:sz w:val="22"/>
          <w:szCs w:val="22"/>
        </w:rPr>
        <w:t>ono</w:t>
      </w:r>
      <w:r w:rsidR="00D91A07">
        <w:rPr>
          <w:rFonts w:ascii="Calibri" w:hAnsi="Calibri"/>
          <w:sz w:val="22"/>
          <w:szCs w:val="22"/>
        </w:rPr>
        <w:t xml:space="preserve"> a fuggire all’estero. Si parla di misure contro la </w:t>
      </w:r>
      <w:r w:rsidR="00D91A07" w:rsidRPr="009E64E1">
        <w:rPr>
          <w:rFonts w:ascii="Calibri" w:hAnsi="Calibri"/>
          <w:b/>
          <w:sz w:val="22"/>
          <w:szCs w:val="22"/>
        </w:rPr>
        <w:t>fuga dei cervelli</w:t>
      </w:r>
      <w:r w:rsidR="00D91A07">
        <w:rPr>
          <w:rFonts w:ascii="Calibri" w:hAnsi="Calibri"/>
          <w:sz w:val="22"/>
          <w:szCs w:val="22"/>
        </w:rPr>
        <w:t>, ma con tale misura i cervelli s</w:t>
      </w:r>
      <w:r w:rsidR="00D334DB">
        <w:rPr>
          <w:rFonts w:ascii="Calibri" w:hAnsi="Calibri"/>
          <w:sz w:val="22"/>
          <w:szCs w:val="22"/>
        </w:rPr>
        <w:t>ono ulteriormente incentivati ad abbandonare l’Italia</w:t>
      </w:r>
      <w:r w:rsidR="00D91A07">
        <w:rPr>
          <w:rFonts w:ascii="Calibri" w:hAnsi="Calibri"/>
          <w:sz w:val="22"/>
          <w:szCs w:val="22"/>
        </w:rPr>
        <w:t>. La fuga è molto più facile che per altre categorie, in quanto</w:t>
      </w:r>
      <w:r>
        <w:rPr>
          <w:rFonts w:ascii="Calibri" w:hAnsi="Calibri"/>
          <w:sz w:val="22"/>
          <w:szCs w:val="22"/>
        </w:rPr>
        <w:t xml:space="preserve"> le nostre sono</w:t>
      </w:r>
      <w:r w:rsidR="00D91A07">
        <w:rPr>
          <w:rFonts w:ascii="Calibri" w:hAnsi="Calibri"/>
          <w:sz w:val="22"/>
          <w:szCs w:val="22"/>
        </w:rPr>
        <w:t xml:space="preserve"> attività a basso investimento</w:t>
      </w:r>
      <w:r w:rsidR="00D334DB">
        <w:rPr>
          <w:rFonts w:ascii="Calibri" w:hAnsi="Calibri"/>
          <w:sz w:val="22"/>
          <w:szCs w:val="22"/>
        </w:rPr>
        <w:t xml:space="preserve">: </w:t>
      </w:r>
      <w:r w:rsidR="00D91A07">
        <w:rPr>
          <w:rFonts w:ascii="Calibri" w:hAnsi="Calibri"/>
          <w:sz w:val="22"/>
          <w:szCs w:val="22"/>
        </w:rPr>
        <w:t>non ci sono impianti, botteghe</w:t>
      </w:r>
      <w:r>
        <w:rPr>
          <w:rFonts w:ascii="Calibri" w:hAnsi="Calibri"/>
          <w:sz w:val="22"/>
          <w:szCs w:val="22"/>
        </w:rPr>
        <w:t xml:space="preserve"> e </w:t>
      </w:r>
      <w:r w:rsidR="00D91A07">
        <w:rPr>
          <w:rFonts w:ascii="Calibri" w:hAnsi="Calibri"/>
          <w:sz w:val="22"/>
          <w:szCs w:val="22"/>
        </w:rPr>
        <w:t>capannoni che vincolano ad un territorio</w:t>
      </w:r>
      <w:r w:rsidR="00D334DB">
        <w:rPr>
          <w:rFonts w:ascii="Calibri" w:hAnsi="Calibri"/>
          <w:sz w:val="22"/>
          <w:szCs w:val="22"/>
        </w:rPr>
        <w:t>.</w:t>
      </w:r>
    </w:p>
    <w:p w:rsidR="00D91A07" w:rsidRDefault="00247048" w:rsidP="00D91A07">
      <w:pPr>
        <w:pStyle w:val="NormaleWeb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</w:t>
      </w:r>
      <w:r w:rsidR="00D91A07">
        <w:rPr>
          <w:rFonts w:ascii="Calibri" w:hAnsi="Calibri"/>
          <w:sz w:val="22"/>
          <w:szCs w:val="22"/>
        </w:rPr>
        <w:t xml:space="preserve"> </w:t>
      </w:r>
      <w:r w:rsidR="00D91A07" w:rsidRPr="009E64E1">
        <w:rPr>
          <w:rFonts w:ascii="Calibri" w:hAnsi="Calibri"/>
          <w:b/>
          <w:sz w:val="22"/>
          <w:szCs w:val="22"/>
        </w:rPr>
        <w:t>donne</w:t>
      </w:r>
      <w:r w:rsidR="00D91A07">
        <w:rPr>
          <w:rFonts w:ascii="Calibri" w:hAnsi="Calibri"/>
          <w:sz w:val="22"/>
          <w:szCs w:val="22"/>
        </w:rPr>
        <w:t xml:space="preserve">, che sempre più spesso scelgono questa modalità di lavoro per conciliare esigenze di cura e </w:t>
      </w:r>
      <w:r>
        <w:rPr>
          <w:rFonts w:ascii="Calibri" w:hAnsi="Calibri"/>
          <w:sz w:val="22"/>
          <w:szCs w:val="22"/>
        </w:rPr>
        <w:t>professionali.</w:t>
      </w:r>
    </w:p>
    <w:p w:rsidR="00D91A07" w:rsidRDefault="00247048" w:rsidP="00D91A07">
      <w:pPr>
        <w:pStyle w:val="NormaleWeb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</w:t>
      </w:r>
      <w:r w:rsidRPr="00247048">
        <w:rPr>
          <w:rFonts w:ascii="Calibri" w:hAnsi="Calibri"/>
          <w:b/>
          <w:sz w:val="22"/>
          <w:szCs w:val="22"/>
        </w:rPr>
        <w:t>giovani</w:t>
      </w:r>
      <w:r w:rsidRPr="00247048">
        <w:rPr>
          <w:rFonts w:ascii="Calibri" w:hAnsi="Calibri"/>
          <w:sz w:val="22"/>
          <w:szCs w:val="22"/>
        </w:rPr>
        <w:t xml:space="preserve"> alla ricerca</w:t>
      </w:r>
      <w:r>
        <w:rPr>
          <w:rFonts w:ascii="Calibri" w:hAnsi="Calibri"/>
          <w:sz w:val="22"/>
          <w:szCs w:val="22"/>
        </w:rPr>
        <w:t xml:space="preserve"> di una</w:t>
      </w:r>
      <w:r w:rsidR="0051260C">
        <w:rPr>
          <w:rFonts w:ascii="Calibri" w:hAnsi="Calibri"/>
          <w:sz w:val="22"/>
          <w:szCs w:val="22"/>
        </w:rPr>
        <w:t xml:space="preserve"> prima occupazione o</w:t>
      </w:r>
      <w:r>
        <w:rPr>
          <w:rFonts w:ascii="Calibri" w:hAnsi="Calibri"/>
          <w:sz w:val="22"/>
          <w:szCs w:val="22"/>
        </w:rPr>
        <w:t xml:space="preserve"> i</w:t>
      </w:r>
      <w:r w:rsidR="0051260C">
        <w:rPr>
          <w:rFonts w:ascii="Calibri" w:hAnsi="Calibri"/>
          <w:sz w:val="22"/>
          <w:szCs w:val="22"/>
        </w:rPr>
        <w:t xml:space="preserve"> </w:t>
      </w:r>
      <w:r w:rsidR="0051260C" w:rsidRPr="00247048">
        <w:rPr>
          <w:rFonts w:ascii="Calibri" w:hAnsi="Calibri"/>
          <w:b/>
          <w:sz w:val="22"/>
          <w:szCs w:val="22"/>
        </w:rPr>
        <w:t>disoccupati</w:t>
      </w:r>
      <w:r w:rsidR="0051260C">
        <w:rPr>
          <w:rFonts w:ascii="Calibri" w:hAnsi="Calibri"/>
          <w:sz w:val="22"/>
          <w:szCs w:val="22"/>
        </w:rPr>
        <w:t xml:space="preserve"> </w:t>
      </w:r>
      <w:r w:rsidR="00D91A07">
        <w:rPr>
          <w:rFonts w:ascii="Calibri" w:hAnsi="Calibri"/>
          <w:sz w:val="22"/>
          <w:szCs w:val="22"/>
        </w:rPr>
        <w:t>che con l’iniziativa autonoma cerca</w:t>
      </w:r>
      <w:r>
        <w:rPr>
          <w:rFonts w:ascii="Calibri" w:hAnsi="Calibri"/>
          <w:sz w:val="22"/>
          <w:szCs w:val="22"/>
        </w:rPr>
        <w:t>no</w:t>
      </w:r>
      <w:r w:rsidR="00D91A07">
        <w:rPr>
          <w:rFonts w:ascii="Calibri" w:hAnsi="Calibri"/>
          <w:sz w:val="22"/>
          <w:szCs w:val="22"/>
        </w:rPr>
        <w:t xml:space="preserve"> di </w:t>
      </w:r>
      <w:r w:rsidR="00D91A07" w:rsidRPr="009E64E1">
        <w:rPr>
          <w:rFonts w:ascii="Calibri" w:hAnsi="Calibri"/>
          <w:b/>
          <w:sz w:val="22"/>
          <w:szCs w:val="22"/>
        </w:rPr>
        <w:t>crearsi un’opportunità lavorativa</w:t>
      </w:r>
      <w:r>
        <w:rPr>
          <w:rFonts w:ascii="Calibri" w:hAnsi="Calibri"/>
          <w:sz w:val="22"/>
          <w:szCs w:val="22"/>
        </w:rPr>
        <w:t>.</w:t>
      </w:r>
    </w:p>
    <w:p w:rsidR="00EA36AE" w:rsidRPr="00EA36AE" w:rsidRDefault="00EA36AE" w:rsidP="00EA36AE">
      <w:pPr>
        <w:pStyle w:val="NormaleWeb"/>
        <w:ind w:left="720"/>
        <w:jc w:val="both"/>
        <w:rPr>
          <w:rFonts w:ascii="Calibri" w:hAnsi="Calibri"/>
          <w:sz w:val="22"/>
          <w:szCs w:val="22"/>
        </w:rPr>
      </w:pPr>
    </w:p>
    <w:p w:rsidR="00BF2142" w:rsidRDefault="00BF2142" w:rsidP="00DC1723">
      <w:pPr>
        <w:pStyle w:val="NormaleWeb"/>
        <w:numPr>
          <w:ilvl w:val="0"/>
          <w:numId w:val="10"/>
        </w:numPr>
        <w:jc w:val="both"/>
        <w:rPr>
          <w:rFonts w:ascii="Calibri" w:hAnsi="Calibri"/>
          <w:b/>
          <w:sz w:val="22"/>
          <w:szCs w:val="22"/>
        </w:rPr>
      </w:pPr>
      <w:r w:rsidRPr="00CF21E0">
        <w:rPr>
          <w:rFonts w:ascii="Calibri" w:hAnsi="Calibri"/>
          <w:b/>
          <w:sz w:val="22"/>
          <w:szCs w:val="22"/>
        </w:rPr>
        <w:t>Perché è insostenibile</w:t>
      </w:r>
    </w:p>
    <w:p w:rsidR="00D24093" w:rsidRDefault="00970F9A" w:rsidP="00EC1BCE">
      <w:pPr>
        <w:pStyle w:val="Normale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Considerando un imponibile di 40.000 euro, attualmente il reddito al netto di contributi, Irpef </w:t>
      </w:r>
      <w:r w:rsidR="006B2918">
        <w:rPr>
          <w:rFonts w:ascii="Calibri" w:hAnsi="Calibri"/>
          <w:sz w:val="22"/>
          <w:szCs w:val="22"/>
        </w:rPr>
        <w:t>e Irap (quindi al lordo delle imposte locali) è di 21.195 euro. Con l’aumento dei contributi pensionistici al 33%, scenderebbe a meno della metà</w:t>
      </w:r>
      <w:r w:rsidR="00247048">
        <w:rPr>
          <w:rFonts w:ascii="Calibri" w:hAnsi="Calibri"/>
          <w:sz w:val="22"/>
          <w:szCs w:val="22"/>
        </w:rPr>
        <w:t xml:space="preserve"> dei 40.000 originali</w:t>
      </w:r>
      <w:r w:rsidR="006B2918">
        <w:rPr>
          <w:rFonts w:ascii="Calibri" w:hAnsi="Calibri"/>
          <w:sz w:val="22"/>
          <w:szCs w:val="22"/>
        </w:rPr>
        <w:t xml:space="preserve">, ovvero 19.637 euro. Restano escluse </w:t>
      </w:r>
      <w:r w:rsidR="00247048">
        <w:rPr>
          <w:rFonts w:ascii="Calibri" w:hAnsi="Calibri"/>
          <w:sz w:val="22"/>
          <w:szCs w:val="22"/>
        </w:rPr>
        <w:t xml:space="preserve">imposte </w:t>
      </w:r>
      <w:r w:rsidR="006B2918">
        <w:rPr>
          <w:rFonts w:ascii="Calibri" w:hAnsi="Calibri"/>
          <w:sz w:val="22"/>
          <w:szCs w:val="22"/>
        </w:rPr>
        <w:t>locali, rischio disoccupazione, infortunio, malattia e</w:t>
      </w:r>
      <w:r w:rsidR="00247048">
        <w:rPr>
          <w:rFonts w:ascii="Calibri" w:hAnsi="Calibri"/>
          <w:sz w:val="22"/>
          <w:szCs w:val="22"/>
        </w:rPr>
        <w:t>c</w:t>
      </w:r>
      <w:r w:rsidR="006B2918">
        <w:rPr>
          <w:rFonts w:ascii="Calibri" w:hAnsi="Calibri"/>
          <w:sz w:val="22"/>
          <w:szCs w:val="22"/>
        </w:rPr>
        <w:t>c.</w:t>
      </w:r>
    </w:p>
    <w:p w:rsidR="00550627" w:rsidRDefault="00D91A07" w:rsidP="00D91A07">
      <w:pPr>
        <w:pStyle w:val="NormaleWeb"/>
        <w:spacing w:after="0" w:afterAutospacing="0"/>
        <w:jc w:val="both"/>
        <w:rPr>
          <w:rFonts w:ascii="Calibri" w:hAnsi="Calibri"/>
          <w:sz w:val="22"/>
          <w:szCs w:val="22"/>
        </w:rPr>
      </w:pPr>
      <w:r w:rsidRPr="00D91A07">
        <w:rPr>
          <w:rFonts w:ascii="Calibri" w:hAnsi="Calibri"/>
          <w:i/>
          <w:sz w:val="22"/>
          <w:szCs w:val="22"/>
        </w:rPr>
        <w:t>Grafico. 1 Incidenza contribu</w:t>
      </w:r>
      <w:r>
        <w:rPr>
          <w:rFonts w:ascii="Calibri" w:hAnsi="Calibri"/>
          <w:i/>
          <w:sz w:val="22"/>
          <w:szCs w:val="22"/>
        </w:rPr>
        <w:t xml:space="preserve">ti e imposte sul reddito dei professionisti autonomi iscritti alla gestione separata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0"/>
        <w:gridCol w:w="4956"/>
      </w:tblGrid>
      <w:tr w:rsidR="00550627" w:rsidTr="0051260C">
        <w:tc>
          <w:tcPr>
            <w:tcW w:w="4889" w:type="dxa"/>
          </w:tcPr>
          <w:p w:rsidR="00550627" w:rsidRPr="0051260C" w:rsidRDefault="00247048" w:rsidP="0051260C">
            <w:pPr>
              <w:pStyle w:val="NormaleWeb"/>
              <w:jc w:val="center"/>
              <w:rPr>
                <w:rFonts w:ascii="Calibri" w:hAnsi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w:t>S</w:t>
            </w:r>
            <w:r w:rsidR="00550627" w:rsidRPr="0051260C">
              <w:rPr>
                <w:rFonts w:ascii="Calibri" w:hAnsi="Calibri"/>
                <w:b/>
                <w:noProof/>
                <w:sz w:val="22"/>
                <w:szCs w:val="22"/>
              </w:rPr>
              <w:t>ituazione attuale</w:t>
            </w:r>
          </w:p>
        </w:tc>
        <w:tc>
          <w:tcPr>
            <w:tcW w:w="4889" w:type="dxa"/>
          </w:tcPr>
          <w:p w:rsidR="00550627" w:rsidRPr="0051260C" w:rsidRDefault="00550627" w:rsidP="0051260C">
            <w:pPr>
              <w:pStyle w:val="NormaleWeb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1260C">
              <w:rPr>
                <w:rFonts w:ascii="Calibri" w:hAnsi="Calibri"/>
                <w:b/>
                <w:sz w:val="22"/>
                <w:szCs w:val="22"/>
              </w:rPr>
              <w:t>Ipotesi contributi al 33%</w:t>
            </w:r>
          </w:p>
        </w:tc>
      </w:tr>
      <w:tr w:rsidR="00550627" w:rsidTr="0051260C">
        <w:tc>
          <w:tcPr>
            <w:tcW w:w="4889" w:type="dxa"/>
          </w:tcPr>
          <w:p w:rsidR="00550627" w:rsidRPr="0051260C" w:rsidRDefault="00515879" w:rsidP="0051260C">
            <w:pPr>
              <w:pStyle w:val="NormaleWeb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2865272" cy="2742194"/>
                  <wp:effectExtent l="12173" t="6086" r="4185" b="0"/>
                  <wp:docPr id="3" name="Grafic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550627" w:rsidRPr="0051260C" w:rsidRDefault="00515879" w:rsidP="0051260C">
            <w:pPr>
              <w:pStyle w:val="NormaleWeb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2989326" cy="2742194"/>
                  <wp:effectExtent l="12192" t="6086" r="8382" b="0"/>
                  <wp:docPr id="4" name="Grafico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D334DB" w:rsidTr="0051260C">
        <w:tc>
          <w:tcPr>
            <w:tcW w:w="4889" w:type="dxa"/>
          </w:tcPr>
          <w:p w:rsidR="00D334DB" w:rsidRPr="0051260C" w:rsidRDefault="006B2918" w:rsidP="0051260C">
            <w:pPr>
              <w:pStyle w:val="NormaleWeb"/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 w:rsidRPr="0051260C">
              <w:rPr>
                <w:rFonts w:ascii="Calibri" w:hAnsi="Calibri"/>
                <w:noProof/>
                <w:sz w:val="22"/>
                <w:szCs w:val="22"/>
              </w:rPr>
              <w:t xml:space="preserve">Imponibile </w:t>
            </w:r>
            <w:r w:rsidR="00D334DB" w:rsidRPr="0051260C">
              <w:rPr>
                <w:rFonts w:ascii="Calibri" w:hAnsi="Calibri"/>
                <w:noProof/>
                <w:sz w:val="22"/>
                <w:szCs w:val="22"/>
              </w:rPr>
              <w:t>40.000 euro</w:t>
            </w:r>
          </w:p>
          <w:p w:rsidR="00D334DB" w:rsidRPr="0051260C" w:rsidRDefault="006B2918" w:rsidP="00247048">
            <w:pPr>
              <w:pStyle w:val="NormaleWeb"/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 w:rsidRPr="0051260C">
              <w:rPr>
                <w:rFonts w:ascii="Calibri" w:hAnsi="Calibri"/>
                <w:noProof/>
                <w:sz w:val="22"/>
                <w:szCs w:val="22"/>
              </w:rPr>
              <w:t xml:space="preserve">Reddito disponibile al lordo delle </w:t>
            </w:r>
            <w:r w:rsidR="00247048">
              <w:rPr>
                <w:rFonts w:ascii="Calibri" w:hAnsi="Calibri"/>
                <w:noProof/>
                <w:sz w:val="22"/>
                <w:szCs w:val="22"/>
              </w:rPr>
              <w:t>imposte</w:t>
            </w:r>
            <w:r w:rsidR="00247048" w:rsidRPr="0051260C">
              <w:rPr>
                <w:rFonts w:ascii="Calibri" w:hAnsi="Calibri"/>
                <w:noProof/>
                <w:sz w:val="22"/>
                <w:szCs w:val="22"/>
              </w:rPr>
              <w:t xml:space="preserve"> </w:t>
            </w:r>
            <w:r w:rsidRPr="0051260C">
              <w:rPr>
                <w:rFonts w:ascii="Calibri" w:hAnsi="Calibri"/>
                <w:noProof/>
                <w:sz w:val="22"/>
                <w:szCs w:val="22"/>
              </w:rPr>
              <w:t xml:space="preserve">locali </w:t>
            </w:r>
            <w:r w:rsidRPr="0051260C">
              <w:rPr>
                <w:rFonts w:ascii="Calibri" w:hAnsi="Calibri"/>
                <w:noProof/>
                <w:sz w:val="22"/>
                <w:szCs w:val="22"/>
              </w:rPr>
              <w:br/>
            </w:r>
            <w:r w:rsidRPr="0051260C">
              <w:rPr>
                <w:rFonts w:ascii="Calibri" w:hAnsi="Calibri"/>
                <w:b/>
                <w:noProof/>
                <w:sz w:val="22"/>
                <w:szCs w:val="22"/>
              </w:rPr>
              <w:t>21.195 euro</w:t>
            </w:r>
          </w:p>
        </w:tc>
        <w:tc>
          <w:tcPr>
            <w:tcW w:w="4889" w:type="dxa"/>
          </w:tcPr>
          <w:p w:rsidR="006B2918" w:rsidRPr="0051260C" w:rsidRDefault="006B2918" w:rsidP="0051260C">
            <w:pPr>
              <w:pStyle w:val="NormaleWeb"/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 w:rsidRPr="0051260C">
              <w:rPr>
                <w:rFonts w:ascii="Calibri" w:hAnsi="Calibri"/>
                <w:noProof/>
                <w:sz w:val="22"/>
                <w:szCs w:val="22"/>
              </w:rPr>
              <w:t>Imponibile 40.000 euro</w:t>
            </w:r>
          </w:p>
          <w:p w:rsidR="00D334DB" w:rsidRPr="0051260C" w:rsidRDefault="006B2918" w:rsidP="00247048">
            <w:pPr>
              <w:pStyle w:val="NormaleWeb"/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 w:rsidRPr="0051260C">
              <w:rPr>
                <w:rFonts w:ascii="Calibri" w:hAnsi="Calibri"/>
                <w:noProof/>
                <w:sz w:val="22"/>
                <w:szCs w:val="22"/>
              </w:rPr>
              <w:t xml:space="preserve">Reddito disponibile al lordo delle </w:t>
            </w:r>
            <w:r w:rsidR="00247048">
              <w:rPr>
                <w:rFonts w:ascii="Calibri" w:hAnsi="Calibri"/>
                <w:noProof/>
                <w:sz w:val="22"/>
                <w:szCs w:val="22"/>
              </w:rPr>
              <w:t>imposte</w:t>
            </w:r>
            <w:r w:rsidR="00247048" w:rsidRPr="0051260C">
              <w:rPr>
                <w:rFonts w:ascii="Calibri" w:hAnsi="Calibri"/>
                <w:noProof/>
                <w:sz w:val="22"/>
                <w:szCs w:val="22"/>
              </w:rPr>
              <w:t xml:space="preserve"> </w:t>
            </w:r>
            <w:r w:rsidRPr="0051260C">
              <w:rPr>
                <w:rFonts w:ascii="Calibri" w:hAnsi="Calibri"/>
                <w:noProof/>
                <w:sz w:val="22"/>
                <w:szCs w:val="22"/>
              </w:rPr>
              <w:t xml:space="preserve">locali </w:t>
            </w:r>
            <w:r w:rsidRPr="0051260C">
              <w:rPr>
                <w:rFonts w:ascii="Calibri" w:hAnsi="Calibri"/>
                <w:noProof/>
                <w:sz w:val="22"/>
                <w:szCs w:val="22"/>
              </w:rPr>
              <w:br/>
            </w:r>
            <w:r w:rsidRPr="0051260C">
              <w:rPr>
                <w:rFonts w:ascii="Calibri" w:hAnsi="Calibri"/>
                <w:b/>
                <w:noProof/>
                <w:sz w:val="22"/>
                <w:szCs w:val="22"/>
              </w:rPr>
              <w:t>19.637 euro</w:t>
            </w:r>
          </w:p>
        </w:tc>
      </w:tr>
    </w:tbl>
    <w:p w:rsidR="00550627" w:rsidRDefault="00D24093" w:rsidP="00EC1BCE">
      <w:pPr>
        <w:pStyle w:val="Normale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 ricordare inoltre che:</w:t>
      </w:r>
    </w:p>
    <w:p w:rsidR="00D24093" w:rsidRDefault="00D24093" w:rsidP="00D24093">
      <w:pPr>
        <w:pStyle w:val="NormaleWeb"/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Tutta la contribuzione è interamente a carico del professionista che molto difficilmente, soprattutto in una situazione di mercato come quella attuale, può scaricare gli aumenti sui propri clienti, </w:t>
      </w:r>
      <w:r w:rsidR="00CB039D">
        <w:rPr>
          <w:rFonts w:ascii="Calibri" w:hAnsi="Calibri"/>
          <w:sz w:val="22"/>
          <w:szCs w:val="22"/>
        </w:rPr>
        <w:t xml:space="preserve">perché ha minore potere contrattuale del committente (impresa o pubblica amministrazione) e perché </w:t>
      </w:r>
      <w:r>
        <w:rPr>
          <w:rFonts w:ascii="Calibri" w:hAnsi="Calibri"/>
          <w:sz w:val="22"/>
          <w:szCs w:val="22"/>
        </w:rPr>
        <w:t>si confronta</w:t>
      </w:r>
      <w:r w:rsidR="00CB039D">
        <w:rPr>
          <w:rFonts w:ascii="Calibri" w:hAnsi="Calibri"/>
          <w:sz w:val="22"/>
          <w:szCs w:val="22"/>
        </w:rPr>
        <w:t xml:space="preserve"> sul mercato</w:t>
      </w:r>
      <w:r>
        <w:rPr>
          <w:rFonts w:ascii="Calibri" w:hAnsi="Calibri"/>
          <w:sz w:val="22"/>
          <w:szCs w:val="22"/>
        </w:rPr>
        <w:t xml:space="preserve"> con professionisti di altri paesi o con professionisti con casse private, tutti avvantaggiati da oneri molto più bassi;</w:t>
      </w:r>
    </w:p>
    <w:p w:rsidR="00D24093" w:rsidRDefault="00D24093" w:rsidP="00D24093">
      <w:pPr>
        <w:pStyle w:val="NormaleWeb"/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</w:t>
      </w:r>
      <w:r w:rsidRPr="00D24093">
        <w:rPr>
          <w:rFonts w:ascii="Calibri" w:hAnsi="Calibri"/>
          <w:sz w:val="22"/>
          <w:szCs w:val="22"/>
        </w:rPr>
        <w:t xml:space="preserve">contributi </w:t>
      </w:r>
      <w:r>
        <w:rPr>
          <w:rFonts w:ascii="Calibri" w:hAnsi="Calibri"/>
          <w:sz w:val="22"/>
          <w:szCs w:val="22"/>
        </w:rPr>
        <w:t xml:space="preserve">(come l’IVA) </w:t>
      </w:r>
      <w:r w:rsidRPr="00D24093">
        <w:rPr>
          <w:rFonts w:ascii="Calibri" w:hAnsi="Calibri"/>
          <w:sz w:val="22"/>
          <w:szCs w:val="22"/>
        </w:rPr>
        <w:t xml:space="preserve">sono </w:t>
      </w:r>
      <w:r>
        <w:rPr>
          <w:rFonts w:ascii="Calibri" w:hAnsi="Calibri"/>
          <w:sz w:val="22"/>
          <w:szCs w:val="22"/>
        </w:rPr>
        <w:t>calcolati sulla base di quanto è stato fatturato, non dell’incassato.</w:t>
      </w:r>
      <w:r w:rsidRPr="00D24093">
        <w:rPr>
          <w:rFonts w:ascii="Calibri" w:hAnsi="Calibri"/>
          <w:sz w:val="22"/>
          <w:szCs w:val="22"/>
        </w:rPr>
        <w:t xml:space="preserve"> Quando un cliente non paga, e in questo periodo capita molto spesso, ci si ritrova a</w:t>
      </w:r>
      <w:r w:rsidR="00866716">
        <w:rPr>
          <w:rFonts w:ascii="Calibri" w:hAnsi="Calibri"/>
          <w:sz w:val="22"/>
          <w:szCs w:val="22"/>
        </w:rPr>
        <w:t xml:space="preserve"> dover fronteggiare a</w:t>
      </w:r>
      <w:r w:rsidRPr="00D24093">
        <w:rPr>
          <w:rFonts w:ascii="Calibri" w:hAnsi="Calibri"/>
          <w:sz w:val="22"/>
          <w:szCs w:val="22"/>
        </w:rPr>
        <w:t>nticip</w:t>
      </w:r>
      <w:r w:rsidR="00866716">
        <w:rPr>
          <w:rFonts w:ascii="Calibri" w:hAnsi="Calibri"/>
          <w:sz w:val="22"/>
          <w:szCs w:val="22"/>
        </w:rPr>
        <w:t>i</w:t>
      </w:r>
      <w:r w:rsidRPr="00D24093">
        <w:rPr>
          <w:rFonts w:ascii="Calibri" w:hAnsi="Calibri"/>
          <w:sz w:val="22"/>
          <w:szCs w:val="22"/>
        </w:rPr>
        <w:t xml:space="preserve"> enormi</w:t>
      </w:r>
      <w:r w:rsidR="00866716">
        <w:rPr>
          <w:rFonts w:ascii="Calibri" w:hAnsi="Calibri"/>
          <w:sz w:val="22"/>
          <w:szCs w:val="22"/>
        </w:rPr>
        <w:t>, non sostenibili.</w:t>
      </w:r>
    </w:p>
    <w:p w:rsidR="00D334DB" w:rsidRDefault="00D334DB" w:rsidP="00DC1723">
      <w:pPr>
        <w:pStyle w:val="NormaleWeb"/>
        <w:numPr>
          <w:ilvl w:val="0"/>
          <w:numId w:val="10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Perché non lascia spazio alla previdenza privata, </w:t>
      </w:r>
      <w:r w:rsidR="00116A4D">
        <w:rPr>
          <w:rFonts w:ascii="Calibri" w:hAnsi="Calibri"/>
          <w:sz w:val="22"/>
          <w:szCs w:val="22"/>
        </w:rPr>
        <w:t xml:space="preserve">in netto contrasto con </w:t>
      </w:r>
      <w:r w:rsidRPr="00BE60B1">
        <w:rPr>
          <w:rFonts w:ascii="Calibri" w:hAnsi="Calibri"/>
          <w:sz w:val="22"/>
          <w:szCs w:val="22"/>
        </w:rPr>
        <w:t xml:space="preserve">quanto affermato nel Decreto </w:t>
      </w:r>
      <w:proofErr w:type="spellStart"/>
      <w:r w:rsidRPr="00BE60B1">
        <w:rPr>
          <w:rFonts w:ascii="Calibri" w:hAnsi="Calibri"/>
          <w:sz w:val="22"/>
          <w:szCs w:val="22"/>
        </w:rPr>
        <w:t>SalvaItalia</w:t>
      </w:r>
      <w:proofErr w:type="spellEnd"/>
      <w:r w:rsidRPr="00BE60B1">
        <w:rPr>
          <w:rFonts w:ascii="Calibri" w:hAnsi="Calibri"/>
          <w:sz w:val="22"/>
          <w:szCs w:val="22"/>
        </w:rPr>
        <w:t xml:space="preserve"> che, all’articolo 24 comma 28, contempla la decontribuzione verso sch</w:t>
      </w:r>
      <w:r>
        <w:rPr>
          <w:rFonts w:ascii="Calibri" w:hAnsi="Calibri"/>
          <w:sz w:val="22"/>
          <w:szCs w:val="22"/>
        </w:rPr>
        <w:t>emi previdenziali integrativi.</w:t>
      </w:r>
    </w:p>
    <w:p w:rsidR="00D334DB" w:rsidRDefault="00D334DB" w:rsidP="00D334DB">
      <w:pPr>
        <w:pStyle w:val="NormaleWeb"/>
        <w:ind w:left="720"/>
        <w:jc w:val="both"/>
        <w:rPr>
          <w:rFonts w:ascii="Calibri" w:hAnsi="Calibri"/>
          <w:b/>
          <w:sz w:val="22"/>
          <w:szCs w:val="22"/>
        </w:rPr>
      </w:pPr>
    </w:p>
    <w:p w:rsidR="00CF21E0" w:rsidRPr="00CF21E0" w:rsidRDefault="009E64E1" w:rsidP="00DC1723">
      <w:pPr>
        <w:pStyle w:val="NormaleWeb"/>
        <w:numPr>
          <w:ilvl w:val="0"/>
          <w:numId w:val="10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Perch</w:t>
      </w:r>
      <w:r w:rsidR="00EA36AE">
        <w:rPr>
          <w:rFonts w:ascii="Calibri" w:hAnsi="Calibri"/>
          <w:b/>
          <w:sz w:val="22"/>
          <w:szCs w:val="22"/>
        </w:rPr>
        <w:t>é</w:t>
      </w:r>
      <w:r w:rsidR="00CF21E0" w:rsidRPr="00CF21E0">
        <w:rPr>
          <w:rFonts w:ascii="Calibri" w:hAnsi="Calibri"/>
          <w:b/>
          <w:sz w:val="22"/>
          <w:szCs w:val="22"/>
        </w:rPr>
        <w:t xml:space="preserve"> i conti</w:t>
      </w:r>
      <w:r w:rsidR="00E06127">
        <w:rPr>
          <w:rFonts w:ascii="Calibri" w:hAnsi="Calibri"/>
          <w:b/>
          <w:sz w:val="22"/>
          <w:szCs w:val="22"/>
        </w:rPr>
        <w:t xml:space="preserve"> comunque non tornano</w:t>
      </w:r>
    </w:p>
    <w:p w:rsidR="009970E6" w:rsidRPr="007E68DC" w:rsidRDefault="00CF21E0" w:rsidP="00CF21E0">
      <w:pPr>
        <w:pStyle w:val="Normale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nostri contributi saranno talmente sproporzionati rispetto a quanto versato da altre categorie che ci costringerete a cercare altre modalità di lavoro</w:t>
      </w:r>
      <w:r w:rsidR="00F75280">
        <w:rPr>
          <w:rFonts w:ascii="Calibri" w:hAnsi="Calibri"/>
          <w:sz w:val="22"/>
          <w:szCs w:val="22"/>
        </w:rPr>
        <w:t>:  SAS, impresa artigiana o commerciale, partita Iva europea lavoro all’estero…</w:t>
      </w:r>
      <w:r w:rsidR="00EA36AE">
        <w:rPr>
          <w:rFonts w:ascii="Calibri" w:hAnsi="Calibri"/>
          <w:sz w:val="22"/>
          <w:szCs w:val="22"/>
        </w:rPr>
        <w:t xml:space="preserve"> </w:t>
      </w:r>
      <w:r w:rsidR="00F75280">
        <w:rPr>
          <w:rFonts w:ascii="Calibri" w:hAnsi="Calibri"/>
          <w:sz w:val="22"/>
          <w:szCs w:val="22"/>
        </w:rPr>
        <w:t>Qualunque commercialista può testimoniare che in tanti st</w:t>
      </w:r>
      <w:r w:rsidR="003D0583">
        <w:rPr>
          <w:rFonts w:ascii="Calibri" w:hAnsi="Calibri"/>
          <w:sz w:val="22"/>
          <w:szCs w:val="22"/>
        </w:rPr>
        <w:t>iamo cercando di attrezzarc</w:t>
      </w:r>
      <w:r w:rsidR="00F75280">
        <w:rPr>
          <w:rFonts w:ascii="Calibri" w:hAnsi="Calibri"/>
          <w:sz w:val="22"/>
          <w:szCs w:val="22"/>
        </w:rPr>
        <w:t xml:space="preserve">i per la </w:t>
      </w:r>
      <w:r w:rsidR="00F75280" w:rsidRPr="009E64E1">
        <w:rPr>
          <w:rFonts w:ascii="Calibri" w:hAnsi="Calibri"/>
          <w:b/>
          <w:sz w:val="22"/>
          <w:szCs w:val="22"/>
        </w:rPr>
        <w:t>fuga dalla Gestione Separata</w:t>
      </w:r>
      <w:r w:rsidR="00F75280">
        <w:rPr>
          <w:rFonts w:ascii="Calibri" w:hAnsi="Calibri"/>
          <w:sz w:val="22"/>
          <w:szCs w:val="22"/>
        </w:rPr>
        <w:t>.</w:t>
      </w:r>
    </w:p>
    <w:p w:rsidR="006C0F23" w:rsidRPr="00310C1A" w:rsidRDefault="006C0F23" w:rsidP="00B17DB4">
      <w:pPr>
        <w:pStyle w:val="NormaleWeb"/>
        <w:rPr>
          <w:rStyle w:val="Enfasigrassetto"/>
          <w:rFonts w:ascii="Calibri" w:hAnsi="Calibri"/>
          <w:sz w:val="28"/>
          <w:szCs w:val="28"/>
        </w:rPr>
      </w:pPr>
      <w:r w:rsidRPr="00310C1A">
        <w:rPr>
          <w:rStyle w:val="Enfasigrassetto"/>
          <w:rFonts w:ascii="Calibri" w:hAnsi="Calibri"/>
          <w:sz w:val="28"/>
          <w:szCs w:val="28"/>
        </w:rPr>
        <w:t>La nostra proposta</w:t>
      </w:r>
      <w:r w:rsidR="00350664" w:rsidRPr="00310C1A">
        <w:rPr>
          <w:rStyle w:val="Enfasigrassetto"/>
          <w:rFonts w:ascii="Calibri" w:hAnsi="Calibri"/>
          <w:sz w:val="28"/>
          <w:szCs w:val="28"/>
        </w:rPr>
        <w:t xml:space="preserve"> </w:t>
      </w:r>
      <w:r w:rsidR="006D6568">
        <w:rPr>
          <w:rStyle w:val="Enfasigrassetto"/>
          <w:rFonts w:ascii="Calibri" w:hAnsi="Calibri"/>
          <w:sz w:val="28"/>
          <w:szCs w:val="28"/>
        </w:rPr>
        <w:t xml:space="preserve">di modifica del DDL </w:t>
      </w:r>
    </w:p>
    <w:p w:rsidR="006C0F23" w:rsidRDefault="0029727D" w:rsidP="002143B4">
      <w:pPr>
        <w:jc w:val="both"/>
        <w:rPr>
          <w:lang w:eastAsia="it-IT"/>
        </w:rPr>
      </w:pPr>
      <w:r>
        <w:rPr>
          <w:lang w:eastAsia="it-IT"/>
        </w:rPr>
        <w:t xml:space="preserve">Non aumentare </w:t>
      </w:r>
      <w:r w:rsidR="006C0F23" w:rsidRPr="00BE60B1">
        <w:rPr>
          <w:lang w:eastAsia="it-IT"/>
        </w:rPr>
        <w:t>la contribuzione pensionistica de</w:t>
      </w:r>
      <w:r w:rsidR="003D0583">
        <w:rPr>
          <w:lang w:eastAsia="it-IT"/>
        </w:rPr>
        <w:t xml:space="preserve">i professionisti con </w:t>
      </w:r>
      <w:r w:rsidR="006C0F23" w:rsidRPr="00BE60B1">
        <w:rPr>
          <w:lang w:eastAsia="it-IT"/>
        </w:rPr>
        <w:t>partit</w:t>
      </w:r>
      <w:r w:rsidR="003D0583">
        <w:rPr>
          <w:lang w:eastAsia="it-IT"/>
        </w:rPr>
        <w:t>a</w:t>
      </w:r>
      <w:r w:rsidR="006C0F23" w:rsidRPr="00BE60B1">
        <w:rPr>
          <w:lang w:eastAsia="it-IT"/>
        </w:rPr>
        <w:t xml:space="preserve"> IVA </w:t>
      </w:r>
      <w:r w:rsidR="003D0583">
        <w:rPr>
          <w:lang w:eastAsia="it-IT"/>
        </w:rPr>
        <w:t>che versano alla Gestione Separata</w:t>
      </w:r>
      <w:r>
        <w:rPr>
          <w:lang w:eastAsia="it-IT"/>
        </w:rPr>
        <w:t xml:space="preserve">. </w:t>
      </w:r>
    </w:p>
    <w:p w:rsidR="00736D9F" w:rsidRDefault="00736D9F" w:rsidP="002143B4">
      <w:pPr>
        <w:jc w:val="both"/>
        <w:rPr>
          <w:rStyle w:val="Enfasigrassetto"/>
          <w:rFonts w:eastAsia="Calibri"/>
          <w:sz w:val="28"/>
          <w:szCs w:val="28"/>
        </w:rPr>
      </w:pPr>
      <w:r w:rsidRPr="00736D9F">
        <w:rPr>
          <w:rStyle w:val="Enfasigrassetto"/>
          <w:rFonts w:eastAsia="Calibri"/>
          <w:sz w:val="28"/>
          <w:szCs w:val="28"/>
        </w:rPr>
        <w:t>Propost</w:t>
      </w:r>
      <w:r w:rsidR="00261443">
        <w:rPr>
          <w:rStyle w:val="Enfasigrassetto"/>
          <w:rFonts w:eastAsia="Calibri"/>
          <w:sz w:val="28"/>
          <w:szCs w:val="28"/>
        </w:rPr>
        <w:t>e</w:t>
      </w:r>
      <w:r w:rsidRPr="00736D9F">
        <w:rPr>
          <w:rStyle w:val="Enfasigrassetto"/>
          <w:rFonts w:eastAsia="Calibri"/>
          <w:sz w:val="28"/>
          <w:szCs w:val="28"/>
        </w:rPr>
        <w:t xml:space="preserve"> per copertura della modifica</w:t>
      </w:r>
    </w:p>
    <w:p w:rsidR="00DE29A9" w:rsidRPr="00261443" w:rsidRDefault="00261443" w:rsidP="00736D9F">
      <w:pPr>
        <w:numPr>
          <w:ilvl w:val="0"/>
          <w:numId w:val="8"/>
        </w:numPr>
        <w:jc w:val="both"/>
        <w:rPr>
          <w:bCs/>
          <w:lang w:eastAsia="it-IT"/>
        </w:rPr>
      </w:pPr>
      <w:r>
        <w:rPr>
          <w:bCs/>
          <w:lang w:eastAsia="it-IT"/>
        </w:rPr>
        <w:t>Alzare</w:t>
      </w:r>
      <w:r w:rsidR="003D0583">
        <w:rPr>
          <w:bCs/>
          <w:lang w:eastAsia="it-IT"/>
        </w:rPr>
        <w:t xml:space="preserve"> o eliminare</w:t>
      </w:r>
      <w:r w:rsidR="00DE29A9" w:rsidRPr="00261443">
        <w:rPr>
          <w:bCs/>
          <w:lang w:eastAsia="it-IT"/>
        </w:rPr>
        <w:t xml:space="preserve"> il massimale attualmente</w:t>
      </w:r>
      <w:r w:rsidR="00412E9D">
        <w:rPr>
          <w:bCs/>
          <w:lang w:eastAsia="it-IT"/>
        </w:rPr>
        <w:t xml:space="preserve"> vigente </w:t>
      </w:r>
      <w:r w:rsidR="00DE29A9" w:rsidRPr="00261443">
        <w:rPr>
          <w:bCs/>
          <w:lang w:eastAsia="it-IT"/>
        </w:rPr>
        <w:t>per il versamento dei contributi</w:t>
      </w:r>
      <w:r w:rsidRPr="00261443">
        <w:rPr>
          <w:bCs/>
          <w:lang w:eastAsia="it-IT"/>
        </w:rPr>
        <w:t xml:space="preserve"> previdenziali</w:t>
      </w:r>
      <w:r w:rsidR="003D0583">
        <w:rPr>
          <w:bCs/>
          <w:lang w:eastAsia="it-IT"/>
        </w:rPr>
        <w:t xml:space="preserve"> di tutte le tipologie di lavoratori autonomi: gestione separata, artigiani, commercianti…</w:t>
      </w:r>
      <w:r w:rsidRPr="00261443">
        <w:rPr>
          <w:bCs/>
          <w:lang w:eastAsia="it-IT"/>
        </w:rPr>
        <w:t>.</w:t>
      </w:r>
    </w:p>
    <w:p w:rsidR="00736D9F" w:rsidRPr="00BF284A" w:rsidRDefault="00736D9F" w:rsidP="00736D9F">
      <w:pPr>
        <w:numPr>
          <w:ilvl w:val="0"/>
          <w:numId w:val="8"/>
        </w:numPr>
        <w:jc w:val="both"/>
        <w:rPr>
          <w:bCs/>
          <w:lang w:eastAsia="it-IT"/>
        </w:rPr>
      </w:pPr>
      <w:r w:rsidRPr="00BF284A">
        <w:rPr>
          <w:bCs/>
          <w:lang w:eastAsia="it-IT"/>
        </w:rPr>
        <w:t>Parificare la contribuzione</w:t>
      </w:r>
      <w:r w:rsidR="00412E9D" w:rsidRPr="00BF284A">
        <w:rPr>
          <w:bCs/>
          <w:lang w:eastAsia="it-IT"/>
        </w:rPr>
        <w:t xml:space="preserve"> dei collaboratori </w:t>
      </w:r>
      <w:r w:rsidR="0051260C" w:rsidRPr="00BF284A">
        <w:rPr>
          <w:bCs/>
          <w:lang w:eastAsia="it-IT"/>
        </w:rPr>
        <w:t>e</w:t>
      </w:r>
      <w:r w:rsidR="00412E9D" w:rsidRPr="00BF284A">
        <w:rPr>
          <w:bCs/>
          <w:lang w:eastAsia="it-IT"/>
        </w:rPr>
        <w:t xml:space="preserve"> professionisti titolari di pensione (attualmente al 17%, prevista </w:t>
      </w:r>
      <w:r w:rsidR="0051260C" w:rsidRPr="00BF284A">
        <w:rPr>
          <w:bCs/>
          <w:lang w:eastAsia="it-IT"/>
        </w:rPr>
        <w:t xml:space="preserve">al 24% </w:t>
      </w:r>
      <w:r w:rsidR="004420FB" w:rsidRPr="00BF284A">
        <w:rPr>
          <w:bCs/>
          <w:lang w:eastAsia="it-IT"/>
        </w:rPr>
        <w:t xml:space="preserve">nel </w:t>
      </w:r>
      <w:r w:rsidR="0051260C" w:rsidRPr="00BF284A">
        <w:rPr>
          <w:bCs/>
          <w:lang w:eastAsia="it-IT"/>
        </w:rPr>
        <w:t>2018)</w:t>
      </w:r>
      <w:r w:rsidR="00412E9D" w:rsidRPr="00BF284A">
        <w:rPr>
          <w:bCs/>
          <w:lang w:eastAsia="it-IT"/>
        </w:rPr>
        <w:t xml:space="preserve"> a quella degli altri lavoratori</w:t>
      </w:r>
      <w:r w:rsidR="0051260C" w:rsidRPr="00BF284A">
        <w:rPr>
          <w:bCs/>
          <w:lang w:eastAsia="it-IT"/>
        </w:rPr>
        <w:t xml:space="preserve"> della gestione separata (attualmente 27%)</w:t>
      </w:r>
      <w:r w:rsidRPr="00BF284A">
        <w:rPr>
          <w:bCs/>
          <w:lang w:eastAsia="it-IT"/>
        </w:rPr>
        <w:t>. In questo modo</w:t>
      </w:r>
      <w:r w:rsidR="00DE29A9" w:rsidRPr="00BF284A">
        <w:rPr>
          <w:bCs/>
          <w:lang w:eastAsia="it-IT"/>
        </w:rPr>
        <w:t xml:space="preserve"> </w:t>
      </w:r>
      <w:r w:rsidR="0051260C" w:rsidRPr="00BF284A">
        <w:rPr>
          <w:bCs/>
          <w:lang w:eastAsia="it-IT"/>
        </w:rPr>
        <w:t>il titolare di pensione (</w:t>
      </w:r>
      <w:r w:rsidR="00DE29A9" w:rsidRPr="00BF284A">
        <w:rPr>
          <w:bCs/>
          <w:lang w:eastAsia="it-IT"/>
        </w:rPr>
        <w:t>retributiva e pertanto vantaggiosa</w:t>
      </w:r>
      <w:r w:rsidR="00261443" w:rsidRPr="00BF284A">
        <w:rPr>
          <w:bCs/>
          <w:lang w:eastAsia="it-IT"/>
        </w:rPr>
        <w:t>, spesso conseguita</w:t>
      </w:r>
      <w:r w:rsidR="0051260C" w:rsidRPr="00BF284A">
        <w:rPr>
          <w:bCs/>
          <w:lang w:eastAsia="it-IT"/>
        </w:rPr>
        <w:t xml:space="preserve"> ben prima degli attuali limiti) </w:t>
      </w:r>
      <w:r w:rsidR="00DE29A9" w:rsidRPr="00BF284A">
        <w:rPr>
          <w:bCs/>
          <w:lang w:eastAsia="it-IT"/>
        </w:rPr>
        <w:t>non sarebbe ulteriormente avvantaggiato da</w:t>
      </w:r>
      <w:r w:rsidR="00261443" w:rsidRPr="00BF284A">
        <w:rPr>
          <w:bCs/>
          <w:lang w:eastAsia="it-IT"/>
        </w:rPr>
        <w:t xml:space="preserve"> un versamento c</w:t>
      </w:r>
      <w:r w:rsidR="0051260C" w:rsidRPr="00BF284A">
        <w:rPr>
          <w:bCs/>
          <w:lang w:eastAsia="it-IT"/>
        </w:rPr>
        <w:t>ontributivo più basso rispetto agli altri lavoratori iscritti alla gestione separata</w:t>
      </w:r>
      <w:r w:rsidR="00261443" w:rsidRPr="00BF284A">
        <w:rPr>
          <w:bCs/>
          <w:lang w:eastAsia="it-IT"/>
        </w:rPr>
        <w:t xml:space="preserve">. </w:t>
      </w:r>
      <w:r w:rsidR="00DE29A9" w:rsidRPr="00BF284A">
        <w:rPr>
          <w:bCs/>
          <w:lang w:eastAsia="it-IT"/>
        </w:rPr>
        <w:t xml:space="preserve"> </w:t>
      </w:r>
      <w:r w:rsidR="00261443" w:rsidRPr="00BF284A">
        <w:rPr>
          <w:bCs/>
          <w:lang w:eastAsia="it-IT"/>
        </w:rPr>
        <w:t>S</w:t>
      </w:r>
      <w:r w:rsidRPr="00BF284A">
        <w:rPr>
          <w:bCs/>
          <w:lang w:eastAsia="it-IT"/>
        </w:rPr>
        <w:t>i ristabilirebbe un principio di equità intergener</w:t>
      </w:r>
      <w:r w:rsidR="00261443" w:rsidRPr="00BF284A">
        <w:rPr>
          <w:bCs/>
          <w:lang w:eastAsia="it-IT"/>
        </w:rPr>
        <w:t>azionale.</w:t>
      </w:r>
      <w:r w:rsidR="00CB039D" w:rsidRPr="00BF284A">
        <w:rPr>
          <w:bCs/>
          <w:lang w:eastAsia="it-IT"/>
        </w:rPr>
        <w:t xml:space="preserve"> Una misura analoga potrebbe riguardare i titolari di pensione che continuano a lavorare come artigiani o commercianti.</w:t>
      </w:r>
      <w:r w:rsidR="004B01E9">
        <w:rPr>
          <w:bCs/>
          <w:lang w:eastAsia="it-IT"/>
        </w:rPr>
        <w:t xml:space="preserve"> </w:t>
      </w:r>
      <w:r w:rsidR="00BF284A">
        <w:rPr>
          <w:bCs/>
          <w:lang w:eastAsia="it-IT"/>
        </w:rPr>
        <w:t>La misura sarebbe ristretta ai titolari di pensioni retributive.</w:t>
      </w:r>
    </w:p>
    <w:sectPr w:rsidR="00736D9F" w:rsidRPr="00BF284A" w:rsidSect="00B07CE6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A63" w:rsidRDefault="00C84A63" w:rsidP="0051260C">
      <w:pPr>
        <w:spacing w:after="0" w:line="240" w:lineRule="auto"/>
      </w:pPr>
      <w:r>
        <w:separator/>
      </w:r>
    </w:p>
  </w:endnote>
  <w:endnote w:type="continuationSeparator" w:id="0">
    <w:p w:rsidR="00C84A63" w:rsidRDefault="00C84A63" w:rsidP="0051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048" w:rsidRDefault="00A268BD">
    <w:pPr>
      <w:pStyle w:val="Pidipagina"/>
      <w:jc w:val="center"/>
    </w:pPr>
    <w:fldSimple w:instr=" PAGE   \* MERGEFORMAT ">
      <w:r w:rsidR="004B01E9">
        <w:rPr>
          <w:noProof/>
        </w:rPr>
        <w:t>6</w:t>
      </w:r>
    </w:fldSimple>
  </w:p>
  <w:p w:rsidR="00247048" w:rsidRDefault="0024704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A63" w:rsidRDefault="00C84A63" w:rsidP="0051260C">
      <w:pPr>
        <w:spacing w:after="0" w:line="240" w:lineRule="auto"/>
      </w:pPr>
      <w:r>
        <w:separator/>
      </w:r>
    </w:p>
  </w:footnote>
  <w:footnote w:type="continuationSeparator" w:id="0">
    <w:p w:rsidR="00C84A63" w:rsidRDefault="00C84A63" w:rsidP="00512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198D2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933CBE"/>
    <w:multiLevelType w:val="hybridMultilevel"/>
    <w:tmpl w:val="1A7EB37C"/>
    <w:lvl w:ilvl="0" w:tplc="29C02C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7844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125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0007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2890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B82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017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408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7A5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E3128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1946EC7"/>
    <w:multiLevelType w:val="hybridMultilevel"/>
    <w:tmpl w:val="34B09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50220"/>
    <w:multiLevelType w:val="hybridMultilevel"/>
    <w:tmpl w:val="4FAAC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07E76"/>
    <w:multiLevelType w:val="hybridMultilevel"/>
    <w:tmpl w:val="140EC4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E036A"/>
    <w:multiLevelType w:val="hybridMultilevel"/>
    <w:tmpl w:val="26EA2E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11F12"/>
    <w:multiLevelType w:val="hybridMultilevel"/>
    <w:tmpl w:val="20329A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0174A"/>
    <w:multiLevelType w:val="hybridMultilevel"/>
    <w:tmpl w:val="9D98392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C5FCE"/>
    <w:multiLevelType w:val="hybridMultilevel"/>
    <w:tmpl w:val="5330D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AE4E16"/>
    <w:multiLevelType w:val="hybridMultilevel"/>
    <w:tmpl w:val="D1E0FE5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07E7E4C"/>
    <w:multiLevelType w:val="hybridMultilevel"/>
    <w:tmpl w:val="FCF27F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581E6D"/>
    <w:multiLevelType w:val="hybridMultilevel"/>
    <w:tmpl w:val="869EE1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78E65C7"/>
    <w:multiLevelType w:val="hybridMultilevel"/>
    <w:tmpl w:val="9F46C8A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7E56782"/>
    <w:multiLevelType w:val="hybridMultilevel"/>
    <w:tmpl w:val="5A90A9AC"/>
    <w:lvl w:ilvl="0" w:tplc="A6B4CE8C">
      <w:start w:val="1"/>
      <w:numFmt w:val="lowerLetter"/>
      <w:lvlText w:val="%1.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2"/>
  </w:num>
  <w:num w:numId="5">
    <w:abstractNumId w:val="13"/>
  </w:num>
  <w:num w:numId="6">
    <w:abstractNumId w:val="14"/>
  </w:num>
  <w:num w:numId="7">
    <w:abstractNumId w:val="10"/>
  </w:num>
  <w:num w:numId="8">
    <w:abstractNumId w:val="7"/>
  </w:num>
  <w:num w:numId="9">
    <w:abstractNumId w:val="11"/>
  </w:num>
  <w:num w:numId="10">
    <w:abstractNumId w:val="5"/>
  </w:num>
  <w:num w:numId="11">
    <w:abstractNumId w:val="0"/>
  </w:num>
  <w:num w:numId="12">
    <w:abstractNumId w:val="6"/>
  </w:num>
  <w:num w:numId="13">
    <w:abstractNumId w:val="8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171E4"/>
    <w:rsid w:val="00036FEE"/>
    <w:rsid w:val="00064C34"/>
    <w:rsid w:val="0007221B"/>
    <w:rsid w:val="000827E0"/>
    <w:rsid w:val="000B6223"/>
    <w:rsid w:val="000C3978"/>
    <w:rsid w:val="00101DD8"/>
    <w:rsid w:val="00116A4D"/>
    <w:rsid w:val="00175082"/>
    <w:rsid w:val="0019509D"/>
    <w:rsid w:val="001E0D8E"/>
    <w:rsid w:val="002143B4"/>
    <w:rsid w:val="00247048"/>
    <w:rsid w:val="00261443"/>
    <w:rsid w:val="00274616"/>
    <w:rsid w:val="00284E2F"/>
    <w:rsid w:val="0029727D"/>
    <w:rsid w:val="002E6D88"/>
    <w:rsid w:val="002F41BD"/>
    <w:rsid w:val="00310C1A"/>
    <w:rsid w:val="00337DF6"/>
    <w:rsid w:val="00350664"/>
    <w:rsid w:val="003D0583"/>
    <w:rsid w:val="003D6C6E"/>
    <w:rsid w:val="003F5125"/>
    <w:rsid w:val="003F5D6B"/>
    <w:rsid w:val="00402CBF"/>
    <w:rsid w:val="00403AB4"/>
    <w:rsid w:val="00412E9D"/>
    <w:rsid w:val="004420FB"/>
    <w:rsid w:val="00454BC3"/>
    <w:rsid w:val="004A4C3F"/>
    <w:rsid w:val="004B01E9"/>
    <w:rsid w:val="0051260C"/>
    <w:rsid w:val="00515879"/>
    <w:rsid w:val="00516713"/>
    <w:rsid w:val="00526309"/>
    <w:rsid w:val="00532A78"/>
    <w:rsid w:val="00550627"/>
    <w:rsid w:val="0057074B"/>
    <w:rsid w:val="00581964"/>
    <w:rsid w:val="00594D76"/>
    <w:rsid w:val="005C6BEC"/>
    <w:rsid w:val="006157D6"/>
    <w:rsid w:val="006223EB"/>
    <w:rsid w:val="00624634"/>
    <w:rsid w:val="00626B2A"/>
    <w:rsid w:val="00631529"/>
    <w:rsid w:val="00697267"/>
    <w:rsid w:val="006B2918"/>
    <w:rsid w:val="006B3957"/>
    <w:rsid w:val="006C0F23"/>
    <w:rsid w:val="006C212E"/>
    <w:rsid w:val="006D6568"/>
    <w:rsid w:val="007171E4"/>
    <w:rsid w:val="007306A4"/>
    <w:rsid w:val="00736D9F"/>
    <w:rsid w:val="007710EF"/>
    <w:rsid w:val="007E68DC"/>
    <w:rsid w:val="00813D2D"/>
    <w:rsid w:val="00815EBF"/>
    <w:rsid w:val="008628B1"/>
    <w:rsid w:val="00866716"/>
    <w:rsid w:val="00882BEC"/>
    <w:rsid w:val="008C4BAC"/>
    <w:rsid w:val="008E38F6"/>
    <w:rsid w:val="008F20B7"/>
    <w:rsid w:val="00943C81"/>
    <w:rsid w:val="009647E4"/>
    <w:rsid w:val="00970F9A"/>
    <w:rsid w:val="0097569C"/>
    <w:rsid w:val="00976F55"/>
    <w:rsid w:val="009970E6"/>
    <w:rsid w:val="009C48E8"/>
    <w:rsid w:val="009D277B"/>
    <w:rsid w:val="009E64E1"/>
    <w:rsid w:val="009F557D"/>
    <w:rsid w:val="00A268BD"/>
    <w:rsid w:val="00A62880"/>
    <w:rsid w:val="00AC29E3"/>
    <w:rsid w:val="00B07CE6"/>
    <w:rsid w:val="00B1177C"/>
    <w:rsid w:val="00B17DB4"/>
    <w:rsid w:val="00B211D9"/>
    <w:rsid w:val="00B4474D"/>
    <w:rsid w:val="00B538C7"/>
    <w:rsid w:val="00BB7251"/>
    <w:rsid w:val="00BB7A97"/>
    <w:rsid w:val="00BC7755"/>
    <w:rsid w:val="00BE60B1"/>
    <w:rsid w:val="00BF2142"/>
    <w:rsid w:val="00BF284A"/>
    <w:rsid w:val="00C6178B"/>
    <w:rsid w:val="00C70500"/>
    <w:rsid w:val="00C84A63"/>
    <w:rsid w:val="00CA5BDD"/>
    <w:rsid w:val="00CB039D"/>
    <w:rsid w:val="00CF21E0"/>
    <w:rsid w:val="00D11DAE"/>
    <w:rsid w:val="00D23ACB"/>
    <w:rsid w:val="00D24093"/>
    <w:rsid w:val="00D30A4A"/>
    <w:rsid w:val="00D334DB"/>
    <w:rsid w:val="00D74F81"/>
    <w:rsid w:val="00D83801"/>
    <w:rsid w:val="00D91A07"/>
    <w:rsid w:val="00D924C7"/>
    <w:rsid w:val="00DC1723"/>
    <w:rsid w:val="00DC4A61"/>
    <w:rsid w:val="00DE0033"/>
    <w:rsid w:val="00DE29A9"/>
    <w:rsid w:val="00E06127"/>
    <w:rsid w:val="00E666F1"/>
    <w:rsid w:val="00E77216"/>
    <w:rsid w:val="00E8194D"/>
    <w:rsid w:val="00E906A1"/>
    <w:rsid w:val="00EA36AE"/>
    <w:rsid w:val="00EC1BCE"/>
    <w:rsid w:val="00EE68EE"/>
    <w:rsid w:val="00F33298"/>
    <w:rsid w:val="00F3482C"/>
    <w:rsid w:val="00F402B7"/>
    <w:rsid w:val="00F4278F"/>
    <w:rsid w:val="00F75280"/>
    <w:rsid w:val="00F80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07CE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7171E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it-IT"/>
    </w:rPr>
  </w:style>
  <w:style w:type="character" w:styleId="Enfasigrassetto">
    <w:name w:val="Strong"/>
    <w:qFormat/>
    <w:rsid w:val="007171E4"/>
    <w:rPr>
      <w:rFonts w:cs="Times New Roman"/>
      <w:b/>
      <w:bCs/>
    </w:rPr>
  </w:style>
  <w:style w:type="paragraph" w:customStyle="1" w:styleId="Default">
    <w:name w:val="Default"/>
    <w:rsid w:val="00E666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table" w:customStyle="1" w:styleId="Sfondochiaro-Colore11">
    <w:name w:val="Sfondo chiaro - Colore 11"/>
    <w:rsid w:val="00CA5BDD"/>
    <w:rPr>
      <w:rFonts w:eastAsia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B211D9"/>
    <w:pPr>
      <w:ind w:left="720"/>
    </w:pPr>
  </w:style>
  <w:style w:type="paragraph" w:styleId="Testofumetto">
    <w:name w:val="Balloon Text"/>
    <w:basedOn w:val="Normale"/>
    <w:link w:val="TestofumettoCarattere"/>
    <w:semiHidden/>
    <w:rsid w:val="00E906A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semiHidden/>
    <w:locked/>
    <w:rsid w:val="00E906A1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semiHidden/>
    <w:rsid w:val="00E906A1"/>
    <w:rPr>
      <w:rFonts w:cs="Times New Roman"/>
      <w:sz w:val="18"/>
      <w:szCs w:val="18"/>
    </w:rPr>
  </w:style>
  <w:style w:type="paragraph" w:styleId="Testocommento">
    <w:name w:val="annotation text"/>
    <w:basedOn w:val="Normale"/>
    <w:link w:val="TestocommentoCarattere"/>
    <w:semiHidden/>
    <w:rsid w:val="00E906A1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link w:val="Testocommento"/>
    <w:semiHidden/>
    <w:locked/>
    <w:rsid w:val="00E906A1"/>
    <w:rPr>
      <w:rFonts w:cs="Times New Roman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E906A1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semiHidden/>
    <w:locked/>
    <w:rsid w:val="00E906A1"/>
    <w:rPr>
      <w:rFonts w:cs="Times New Roman"/>
      <w:b/>
      <w:bCs/>
      <w:sz w:val="20"/>
      <w:szCs w:val="20"/>
    </w:rPr>
  </w:style>
  <w:style w:type="table" w:styleId="Grigliatabella">
    <w:name w:val="Table Grid"/>
    <w:basedOn w:val="Tabellanormale"/>
    <w:rsid w:val="00BE60B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5126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1260C"/>
    <w:rPr>
      <w:rFonts w:eastAsia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5126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1260C"/>
    <w:rPr>
      <w:rFonts w:eastAsia="Times New Roman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064C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4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0085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280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6247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soru\AppData\Local\Microsoft\Windows\Temporary%20Internet%20Files\Content.Outlook\8XMQLXU9\aliquot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Cartel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Cartel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style val="28"/>
  <c:chart>
    <c:plotArea>
      <c:layout/>
      <c:barChart>
        <c:barDir val="bar"/>
        <c:grouping val="stacked"/>
        <c:ser>
          <c:idx val="0"/>
          <c:order val="0"/>
          <c:spPr>
            <a:solidFill>
              <a:schemeClr val="tx2">
                <a:lumMod val="40000"/>
                <a:lumOff val="60000"/>
              </a:schemeClr>
            </a:solidFill>
          </c:spPr>
          <c:cat>
            <c:strRef>
              <c:f>Foglio1!$A$4:$A$8</c:f>
              <c:strCache>
                <c:ptCount val="5"/>
                <c:pt idx="0">
                  <c:v>professionisti con cassa privata*</c:v>
                </c:pt>
                <c:pt idx="1">
                  <c:v>artigiani/commercianti</c:v>
                </c:pt>
                <c:pt idx="2">
                  <c:v>collaboratori a progetto</c:v>
                </c:pt>
                <c:pt idx="3">
                  <c:v>dipendenti</c:v>
                </c:pt>
                <c:pt idx="4">
                  <c:v>professionisti con partita Iva</c:v>
                </c:pt>
              </c:strCache>
            </c:strRef>
          </c:cat>
          <c:val>
            <c:numRef>
              <c:f>Foglio1!$B$4:$B$8</c:f>
              <c:numCache>
                <c:formatCode>General</c:formatCode>
                <c:ptCount val="5"/>
                <c:pt idx="0">
                  <c:v>13</c:v>
                </c:pt>
                <c:pt idx="1">
                  <c:v>20.5</c:v>
                </c:pt>
                <c:pt idx="2">
                  <c:v>25.38</c:v>
                </c:pt>
                <c:pt idx="3">
                  <c:v>25.47</c:v>
                </c:pt>
                <c:pt idx="4">
                  <c:v>27</c:v>
                </c:pt>
              </c:numCache>
            </c:numRef>
          </c:val>
        </c:ser>
        <c:ser>
          <c:idx val="1"/>
          <c:order val="1"/>
          <c:spPr>
            <a:solidFill>
              <a:schemeClr val="tx1"/>
            </a:solidFill>
          </c:spPr>
          <c:cat>
            <c:strRef>
              <c:f>Foglio1!$A$4:$A$8</c:f>
              <c:strCache>
                <c:ptCount val="5"/>
                <c:pt idx="0">
                  <c:v>professionisti con cassa privata*</c:v>
                </c:pt>
                <c:pt idx="1">
                  <c:v>artigiani/commercianti</c:v>
                </c:pt>
                <c:pt idx="2">
                  <c:v>collaboratori a progetto</c:v>
                </c:pt>
                <c:pt idx="3">
                  <c:v>dipendenti</c:v>
                </c:pt>
                <c:pt idx="4">
                  <c:v>professionisti con partita Iva</c:v>
                </c:pt>
              </c:strCache>
            </c:strRef>
          </c:cat>
          <c:val>
            <c:numRef>
              <c:f>Foglio1!$C$4:$C$8</c:f>
              <c:numCache>
                <c:formatCode>General</c:formatCode>
                <c:ptCount val="5"/>
                <c:pt idx="4">
                  <c:v>6</c:v>
                </c:pt>
              </c:numCache>
            </c:numRef>
          </c:val>
        </c:ser>
        <c:overlap val="100"/>
        <c:axId val="91009408"/>
        <c:axId val="91010944"/>
      </c:barChart>
      <c:catAx>
        <c:axId val="91009408"/>
        <c:scaling>
          <c:orientation val="minMax"/>
        </c:scaling>
        <c:axPos val="l"/>
        <c:tickLblPos val="nextTo"/>
        <c:crossAx val="91010944"/>
        <c:crosses val="autoZero"/>
        <c:auto val="1"/>
        <c:lblAlgn val="ctr"/>
        <c:lblOffset val="100"/>
      </c:catAx>
      <c:valAx>
        <c:axId val="91010944"/>
        <c:scaling>
          <c:orientation val="minMax"/>
        </c:scaling>
        <c:axPos val="b"/>
        <c:majorGridlines/>
        <c:numFmt formatCode="General" sourceLinked="1"/>
        <c:tickLblPos val="nextTo"/>
        <c:crossAx val="91009408"/>
        <c:crosses val="autoZero"/>
        <c:crossBetween val="between"/>
      </c:valAx>
    </c:plotArea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autoTitleDeleted val="1"/>
    <c:plotArea>
      <c:layout>
        <c:manualLayout>
          <c:layoutTarget val="inner"/>
          <c:xMode val="edge"/>
          <c:yMode val="edge"/>
          <c:x val="0.18334580270489473"/>
          <c:y val="7.4993802857976244E-2"/>
          <c:w val="0.7201670721392387"/>
          <c:h val="0.7526746135899699"/>
        </c:manualLayout>
      </c:layout>
      <c:pieChart>
        <c:varyColors val="1"/>
        <c:ser>
          <c:idx val="0"/>
          <c:order val="0"/>
          <c:dLbls>
            <c:dLbl>
              <c:idx val="4"/>
              <c:layout>
                <c:manualLayout>
                  <c:x val="0.29905110698372006"/>
                  <c:y val="3.30468066491688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reddito disponibile al lordo delle tasse locali
</a:t>
                    </a:r>
                    <a:r>
                      <a:rPr lang="en-US" b="1"/>
                      <a:t>52,5%</a:t>
                    </a:r>
                  </a:p>
                </c:rich>
              </c:tx>
              <c:showCatName val="1"/>
              <c:showPercent val="1"/>
            </c:dLbl>
            <c:numFmt formatCode="0.0%" sourceLinked="0"/>
            <c:showCatName val="1"/>
            <c:showPercent val="1"/>
            <c:showLeaderLines val="1"/>
          </c:dLbls>
          <c:cat>
            <c:strRef>
              <c:f>Foglio1!$A$36:$A$47</c:f>
              <c:strCache>
                <c:ptCount val="5"/>
                <c:pt idx="0">
                  <c:v>inps previdenza </c:v>
                </c:pt>
                <c:pt idx="1">
                  <c:v>inps oneri sociali </c:v>
                </c:pt>
                <c:pt idx="2">
                  <c:v>irpef </c:v>
                </c:pt>
                <c:pt idx="3">
                  <c:v>irap</c:v>
                </c:pt>
                <c:pt idx="4">
                  <c:v>reddito disponibile al lordo delle tasse locali</c:v>
                </c:pt>
              </c:strCache>
            </c:strRef>
          </c:cat>
          <c:val>
            <c:numRef>
              <c:f>Foglio1!$D$36:$D$47</c:f>
              <c:numCache>
                <c:formatCode>General</c:formatCode>
                <c:ptCount val="5"/>
                <c:pt idx="0" formatCode="&quot;€&quot;\ #,##0.00;[Red]\-&quot;€&quot;\ #,##0.00">
                  <c:v>10800</c:v>
                </c:pt>
                <c:pt idx="1">
                  <c:v>288</c:v>
                </c:pt>
                <c:pt idx="2" formatCode="&quot;€&quot;\ #,##0.00;[Red]\-&quot;€&quot;\ #,##0.00">
                  <c:v>7306.56</c:v>
                </c:pt>
                <c:pt idx="3" formatCode="&quot;€&quot;\ #,##0.00;[Red]\-&quot;€&quot;\ #,##0.00">
                  <c:v>757.07</c:v>
                </c:pt>
                <c:pt idx="4" formatCode="&quot;€&quot;\ #,##0.00;[Red]\-&quot;€&quot;\ #,##0.00">
                  <c:v>21195.37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autoTitleDeleted val="1"/>
    <c:plotArea>
      <c:layout/>
      <c:pieChart>
        <c:varyColors val="1"/>
        <c:ser>
          <c:idx val="0"/>
          <c:order val="0"/>
          <c:dLbls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reddito disponibile al lordo delle tasse locali
</a:t>
                    </a:r>
                    <a:r>
                      <a:rPr lang="en-US" b="1"/>
                      <a:t>49,1%</a:t>
                    </a:r>
                  </a:p>
                </c:rich>
              </c:tx>
              <c:showCatName val="1"/>
              <c:showPercent val="1"/>
            </c:dLbl>
            <c:numFmt formatCode="0.0%" sourceLinked="0"/>
            <c:showCatName val="1"/>
            <c:showPercent val="1"/>
            <c:showLeaderLines val="1"/>
          </c:dLbls>
          <c:cat>
            <c:strRef>
              <c:f>Foglio1!$A$36:$A$47</c:f>
              <c:strCache>
                <c:ptCount val="5"/>
                <c:pt idx="0">
                  <c:v>inps previdenza </c:v>
                </c:pt>
                <c:pt idx="1">
                  <c:v>inps oneri sociali </c:v>
                </c:pt>
                <c:pt idx="2">
                  <c:v>irpef </c:v>
                </c:pt>
                <c:pt idx="3">
                  <c:v>irap</c:v>
                </c:pt>
                <c:pt idx="4">
                  <c:v>reddito disponibile al lordo delle tasse locali</c:v>
                </c:pt>
              </c:strCache>
            </c:strRef>
          </c:cat>
          <c:val>
            <c:numRef>
              <c:f>Foglio1!$B$36:$B$47</c:f>
              <c:numCache>
                <c:formatCode>General</c:formatCode>
                <c:ptCount val="5"/>
                <c:pt idx="0">
                  <c:v>13200</c:v>
                </c:pt>
                <c:pt idx="1">
                  <c:v>288</c:v>
                </c:pt>
                <c:pt idx="2">
                  <c:v>6211.24</c:v>
                </c:pt>
                <c:pt idx="3">
                  <c:v>663.46800000000007</c:v>
                </c:pt>
                <c:pt idx="4" formatCode="&quot;€&quot;\ #,##0.00;[Red]\-&quot;€&quot;\ #,##0.00">
                  <c:v>19637.292000000001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0.84583</cdr:x>
      <cdr:y>0.00694</cdr:y>
    </cdr:from>
    <cdr:to>
      <cdr:x>0.96042</cdr:x>
      <cdr:y>0.08333</cdr:y>
    </cdr:to>
    <cdr:sp macro="" textlink="">
      <cdr:nvSpPr>
        <cdr:cNvPr id="2" name="CasellaDiTesto 1"/>
        <cdr:cNvSpPr txBox="1"/>
      </cdr:nvSpPr>
      <cdr:spPr>
        <a:xfrm xmlns:a="http://schemas.openxmlformats.org/drawingml/2006/main">
          <a:off x="3867150" y="19050"/>
          <a:ext cx="52387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it-IT" sz="1100" b="1"/>
            <a:t>33%</a:t>
          </a:r>
        </a:p>
      </cdr:txBody>
    </cdr:sp>
  </cdr:relSizeAnchor>
</c:userShape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1743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Formaper</Company>
  <LinksUpToDate>false</LinksUpToDate>
  <CharactersWithSpaces>11929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cp:lastPrinted>2012-06-15T10:45:00Z</cp:lastPrinted>
  <dcterms:created xsi:type="dcterms:W3CDTF">2012-06-18T12:36:00Z</dcterms:created>
  <dcterms:modified xsi:type="dcterms:W3CDTF">2012-06-18T12:36:00Z</dcterms:modified>
</cp:coreProperties>
</file>